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w:t>
            </w:r>
            <w:r>
              <w:rPr>
                <w:rFonts w:ascii="黑体" w:hAnsi="黑体" w:eastAsia="黑体"/>
                <w:sz w:val="21"/>
                <w:szCs w:val="21"/>
              </w:rPr>
              <w:t xml:space="preserve"> </w:t>
            </w:r>
            <w:r>
              <w:rPr>
                <w:rFonts w:hint="eastAsia" w:ascii="黑体" w:hAnsi="黑体" w:eastAsia="黑体"/>
                <w:sz w:val="21"/>
                <w:szCs w:val="21"/>
              </w:rPr>
              <w:t>00</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3305</w:t>
            </w:r>
            <w:r>
              <w:fldChar w:fldCharType="end"/>
            </w:r>
            <w:bookmarkEnd w:id="3"/>
          </w:p>
        </w:tc>
      </w:tr>
    </w:tbl>
    <w:p>
      <w:pPr>
        <w:pStyle w:val="52"/>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浙江省</w:t>
      </w:r>
      <w:r>
        <w:rPr>
          <w:rFonts w:ascii="黑体" w:eastAsia="黑体"/>
          <w:b w:val="0"/>
          <w:w w:val="100"/>
          <w:sz w:val="48"/>
        </w:rPr>
        <w:t>湖</w:t>
      </w:r>
      <w:r>
        <w:rPr>
          <w:rFonts w:hint="eastAsia" w:ascii="黑体" w:eastAsia="黑体"/>
          <w:b w:val="0"/>
          <w:w w:val="100"/>
          <w:sz w:val="48"/>
        </w:rPr>
        <w:t>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3305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未来乡村智慧广电建设与服务规范</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Future village smart radio and television construction and service specification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湖</w:t>
      </w:r>
      <w:r>
        <w:rPr>
          <w:rFonts w:hint="eastAsia" w:hAnsi="黑体"/>
          <w:w w:val="100"/>
          <w:sz w:val="28"/>
        </w:rPr>
        <w:t>州市市场监督管理局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3"/>
        <w:spacing w:after="468"/>
      </w:pPr>
      <w:bookmarkStart w:id="21" w:name="BookMark1"/>
      <w:bookmarkStart w:id="22" w:name="_Toc83763183"/>
      <w:bookmarkStart w:id="23" w:name="_Toc87382937"/>
      <w:bookmarkStart w:id="24" w:name="_Toc85221338"/>
      <w:bookmarkStart w:id="25" w:name="_Toc80218179"/>
      <w:bookmarkStart w:id="26" w:name="_Toc80218998"/>
      <w:bookmarkStart w:id="27" w:name="_Toc8695584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"_Toc88429811" </w:instrText>
      </w:r>
      <w:r>
        <w:fldChar w:fldCharType="separate"/>
      </w:r>
      <w:r>
        <w:rPr>
          <w:rStyle w:val="34"/>
        </w:rPr>
        <w:t>前言</w:t>
      </w:r>
      <w:r>
        <w:tab/>
      </w:r>
      <w:r>
        <w:fldChar w:fldCharType="begin"/>
      </w:r>
      <w:r>
        <w:instrText xml:space="preserve"> PAGEREF _Toc88429811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"_Toc88429812" </w:instrText>
      </w:r>
      <w:r>
        <w:fldChar w:fldCharType="separate"/>
      </w:r>
      <w:r>
        <w:rPr>
          <w:rStyle w:val="34"/>
        </w:rPr>
        <w:t>1  范围</w:t>
      </w:r>
      <w:r>
        <w:tab/>
      </w:r>
      <w:r>
        <w:fldChar w:fldCharType="begin"/>
      </w:r>
      <w:r>
        <w:instrText xml:space="preserve"> PAGEREF _Toc88429812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"_Toc88429813" </w:instrText>
      </w:r>
      <w:r>
        <w:fldChar w:fldCharType="separate"/>
      </w:r>
      <w:r>
        <w:rPr>
          <w:rStyle w:val="34"/>
        </w:rPr>
        <w:t>2  规范性引用文件</w:t>
      </w:r>
      <w:r>
        <w:tab/>
      </w:r>
      <w:r>
        <w:fldChar w:fldCharType="begin"/>
      </w:r>
      <w:r>
        <w:instrText xml:space="preserve"> PAGEREF _Toc88429813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"_Toc88429814" </w:instrText>
      </w:r>
      <w:r>
        <w:fldChar w:fldCharType="separate"/>
      </w:r>
      <w:r>
        <w:rPr>
          <w:rStyle w:val="34"/>
        </w:rPr>
        <w:t>3  术语和定义</w:t>
      </w:r>
      <w:r>
        <w:tab/>
      </w:r>
      <w:r>
        <w:fldChar w:fldCharType="begin"/>
      </w:r>
      <w:r>
        <w:instrText xml:space="preserve"> PAGEREF _Toc88429814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rPr>
          <w:rStyle w:val="34"/>
        </w:rPr>
        <w:fldChar w:fldCharType="begin"/>
      </w:r>
      <w:r>
        <w:rPr>
          <w:rStyle w:val="34"/>
        </w:rPr>
        <w:instrText xml:space="preserve"> </w:instrText>
      </w:r>
      <w:r>
        <w:instrText xml:space="preserve">HYPERLINK \l "_Toc88429819"</w:instrText>
      </w:r>
      <w:r>
        <w:rPr>
          <w:rStyle w:val="34"/>
        </w:rPr>
        <w:instrText xml:space="preserve"> </w:instrText>
      </w:r>
      <w:r>
        <w:rPr>
          <w:rStyle w:val="34"/>
        </w:rPr>
        <w:fldChar w:fldCharType="separate"/>
      </w:r>
      <w:r>
        <w:rPr>
          <w:rStyle w:val="34"/>
        </w:rPr>
        <w:t>4  智慧广电公共服务建设架构</w:t>
      </w:r>
      <w:r>
        <w:tab/>
      </w:r>
      <w:r>
        <w:fldChar w:fldCharType="begin"/>
      </w:r>
      <w:r>
        <w:instrText xml:space="preserve"> PAGEREF _Toc88429819 \h </w:instrText>
      </w:r>
      <w:r>
        <w:fldChar w:fldCharType="separate"/>
      </w:r>
      <w:r>
        <w:t>4</w:t>
      </w:r>
      <w:r>
        <w:fldChar w:fldCharType="end"/>
      </w:r>
      <w:r>
        <w:rPr>
          <w:rStyle w:val="34"/>
        </w:rP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"_Toc88429820" </w:instrText>
      </w:r>
      <w:r>
        <w:fldChar w:fldCharType="separate"/>
      </w:r>
      <w:r>
        <w:rPr>
          <w:rStyle w:val="34"/>
        </w:rPr>
        <w:t>5  网络基础建设</w:t>
      </w:r>
      <w:r>
        <w:tab/>
      </w:r>
      <w:r>
        <w:fldChar w:fldCharType="begin"/>
      </w:r>
      <w:r>
        <w:instrText xml:space="preserve"> PAGEREF _Toc88429820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"_Toc88429821" </w:instrText>
      </w:r>
      <w:r>
        <w:fldChar w:fldCharType="separate"/>
      </w:r>
      <w:r>
        <w:rPr>
          <w:rStyle w:val="34"/>
          <w14:scene3d w14:prst="orthographicFront">
            <w14:lightRig w14:rig="threePt" w14:dir="t">
              <w14:rot w14:lat="0" w14:lon="0" w14:rev="0"/>
            </w14:lightRig>
          </w14:scene3d>
        </w:rPr>
        <w:t xml:space="preserve">5.1 </w:t>
      </w:r>
      <w:r>
        <w:rPr>
          <w:rStyle w:val="34"/>
        </w:rPr>
        <w:t xml:space="preserve"> 融媒体指挥平台</w:t>
      </w:r>
      <w:r>
        <w:tab/>
      </w:r>
      <w:r>
        <w:fldChar w:fldCharType="begin"/>
      </w:r>
      <w:r>
        <w:instrText xml:space="preserve"> PAGEREF _Toc88429821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"_Toc88429822" </w:instrText>
      </w:r>
      <w:r>
        <w:fldChar w:fldCharType="separate"/>
      </w:r>
      <w:r>
        <w:rPr>
          <w:rStyle w:val="34"/>
          <w14:scene3d w14:prst="orthographicFront">
            <w14:lightRig w14:rig="threePt" w14:dir="t">
              <w14:rot w14:lat="0" w14:lon="0" w14:rev="0"/>
            </w14:lightRig>
          </w14:scene3d>
        </w:rPr>
        <w:t xml:space="preserve">5.2 </w:t>
      </w:r>
      <w:r>
        <w:rPr>
          <w:rStyle w:val="34"/>
        </w:rPr>
        <w:t xml:space="preserve"> 数字电视网</w:t>
      </w:r>
      <w:r>
        <w:tab/>
      </w:r>
      <w:r>
        <w:fldChar w:fldCharType="begin"/>
      </w:r>
      <w:r>
        <w:instrText xml:space="preserve"> PAGEREF _Toc88429822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"_Toc88429823" </w:instrText>
      </w:r>
      <w:r>
        <w:fldChar w:fldCharType="separate"/>
      </w:r>
      <w:r>
        <w:rPr>
          <w:rStyle w:val="34"/>
          <w14:scene3d w14:prst="orthographicFront">
            <w14:lightRig w14:rig="threePt" w14:dir="t">
              <w14:rot w14:lat="0" w14:lon="0" w14:rev="0"/>
            </w14:lightRig>
          </w14:scene3d>
        </w:rPr>
        <w:t xml:space="preserve">5.3 </w:t>
      </w:r>
      <w:r>
        <w:rPr>
          <w:rStyle w:val="34"/>
        </w:rPr>
        <w:t xml:space="preserve"> 广电点播、宽带等数据服务</w:t>
      </w:r>
      <w:r>
        <w:tab/>
      </w:r>
      <w:r>
        <w:fldChar w:fldCharType="begin"/>
      </w:r>
      <w:r>
        <w:instrText xml:space="preserve"> PAGEREF _Toc88429823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"_Toc88429824" </w:instrText>
      </w:r>
      <w:r>
        <w:fldChar w:fldCharType="separate"/>
      </w:r>
      <w:r>
        <w:rPr>
          <w:rStyle w:val="34"/>
          <w14:scene3d w14:prst="orthographicFront">
            <w14:lightRig w14:rig="threePt" w14:dir="t">
              <w14:rot w14:lat="0" w14:lon="0" w14:rev="0"/>
            </w14:lightRig>
          </w14:scene3d>
        </w:rPr>
        <w:t xml:space="preserve">5.4 </w:t>
      </w:r>
      <w:r>
        <w:rPr>
          <w:rStyle w:val="34"/>
        </w:rPr>
        <w:t xml:space="preserve"> 广播系统</w:t>
      </w:r>
      <w:r>
        <w:tab/>
      </w:r>
      <w:r>
        <w:fldChar w:fldCharType="begin"/>
      </w:r>
      <w:r>
        <w:instrText xml:space="preserve"> PAGEREF _Toc88429824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"_Toc88429825" </w:instrText>
      </w:r>
      <w:r>
        <w:fldChar w:fldCharType="separate"/>
      </w:r>
      <w:r>
        <w:rPr>
          <w:rStyle w:val="34"/>
          <w14:scene3d w14:prst="orthographicFront">
            <w14:lightRig w14:rig="threePt" w14:dir="t">
              <w14:rot w14:lat="0" w14:lon="0" w14:rev="0"/>
            </w14:lightRig>
          </w14:scene3d>
        </w:rPr>
        <w:t xml:space="preserve">5.5 </w:t>
      </w:r>
      <w:r>
        <w:rPr>
          <w:rStyle w:val="34"/>
        </w:rPr>
        <w:t xml:space="preserve"> 无线wifi</w:t>
      </w:r>
      <w:r>
        <w:tab/>
      </w:r>
      <w:r>
        <w:fldChar w:fldCharType="begin"/>
      </w:r>
      <w:r>
        <w:instrText xml:space="preserve"> PAGEREF _Toc88429825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"_Toc88429826" </w:instrText>
      </w:r>
      <w:r>
        <w:fldChar w:fldCharType="separate"/>
      </w:r>
      <w:r>
        <w:rPr>
          <w:rStyle w:val="34"/>
          <w14:scene3d w14:prst="orthographicFront">
            <w14:lightRig w14:rig="threePt" w14:dir="t">
              <w14:rot w14:lat="0" w14:lon="0" w14:rev="0"/>
            </w14:lightRig>
          </w14:scene3d>
        </w:rPr>
        <w:t xml:space="preserve">5.6 </w:t>
      </w:r>
      <w:r>
        <w:rPr>
          <w:rStyle w:val="34"/>
        </w:rPr>
        <w:t xml:space="preserve"> 视频监控网络</w:t>
      </w:r>
      <w:r>
        <w:tab/>
      </w:r>
      <w:r>
        <w:fldChar w:fldCharType="begin"/>
      </w:r>
      <w:r>
        <w:instrText xml:space="preserve"> PAGEREF _Toc88429826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"_Toc88429827" </w:instrText>
      </w:r>
      <w:r>
        <w:fldChar w:fldCharType="separate"/>
      </w:r>
      <w:r>
        <w:rPr>
          <w:rStyle w:val="34"/>
          <w14:scene3d w14:prst="orthographicFront">
            <w14:lightRig w14:rig="threePt" w14:dir="t">
              <w14:rot w14:lat="0" w14:lon="0" w14:rev="0"/>
            </w14:lightRig>
          </w14:scene3d>
        </w:rPr>
        <w:t xml:space="preserve">5.7 </w:t>
      </w:r>
      <w:r>
        <w:rPr>
          <w:rStyle w:val="34"/>
        </w:rPr>
        <w:t xml:space="preserve"> 融媒体技术平台</w:t>
      </w:r>
      <w:r>
        <w:tab/>
      </w:r>
      <w:r>
        <w:fldChar w:fldCharType="begin"/>
      </w:r>
      <w:r>
        <w:instrText xml:space="preserve"> PAGEREF _Toc88429827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"_Toc88429828" </w:instrText>
      </w:r>
      <w:r>
        <w:fldChar w:fldCharType="separate"/>
      </w:r>
      <w:r>
        <w:rPr>
          <w:rStyle w:val="34"/>
        </w:rPr>
        <w:t>6  智慧广电服务场景框架</w:t>
      </w:r>
      <w:r>
        <w:tab/>
      </w:r>
      <w:r>
        <w:fldChar w:fldCharType="begin"/>
      </w:r>
      <w:r>
        <w:instrText xml:space="preserve"> PAGEREF _Toc88429828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"_Toc88429829" </w:instrText>
      </w:r>
      <w:r>
        <w:fldChar w:fldCharType="separate"/>
      </w:r>
      <w:r>
        <w:rPr>
          <w:rStyle w:val="34"/>
        </w:rPr>
        <w:t>7  数字生产场景服务</w:t>
      </w:r>
      <w:r>
        <w:tab/>
      </w:r>
      <w:r>
        <w:fldChar w:fldCharType="begin"/>
      </w:r>
      <w:r>
        <w:instrText xml:space="preserve"> PAGEREF _Toc88429829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"_Toc88429830" </w:instrText>
      </w:r>
      <w:r>
        <w:fldChar w:fldCharType="separate"/>
      </w:r>
      <w:r>
        <w:rPr>
          <w:rStyle w:val="34"/>
          <w14:scene3d w14:prst="orthographicFront">
            <w14:lightRig w14:rig="threePt" w14:dir="t">
              <w14:rot w14:lat="0" w14:lon="0" w14:rev="0"/>
            </w14:lightRig>
          </w14:scene3d>
        </w:rPr>
        <w:t xml:space="preserve">7.1 </w:t>
      </w:r>
      <w:r>
        <w:rPr>
          <w:rStyle w:val="34"/>
        </w:rPr>
        <w:t xml:space="preserve"> 媒体助农</w:t>
      </w:r>
      <w:r>
        <w:tab/>
      </w:r>
      <w:r>
        <w:fldChar w:fldCharType="begin"/>
      </w:r>
      <w:r>
        <w:instrText xml:space="preserve"> PAGEREF _Toc88429830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"_Toc88429831" </w:instrText>
      </w:r>
      <w:r>
        <w:fldChar w:fldCharType="separate"/>
      </w:r>
      <w:r>
        <w:rPr>
          <w:rStyle w:val="34"/>
          <w14:scene3d w14:prst="orthographicFront">
            <w14:lightRig w14:rig="threePt" w14:dir="t">
              <w14:rot w14:lat="0" w14:lon="0" w14:rev="0"/>
            </w14:lightRig>
          </w14:scene3d>
        </w:rPr>
        <w:t xml:space="preserve">7.2 </w:t>
      </w:r>
      <w:r>
        <w:rPr>
          <w:rStyle w:val="34"/>
        </w:rPr>
        <w:t xml:space="preserve"> 公共事件</w:t>
      </w:r>
      <w:r>
        <w:tab/>
      </w:r>
      <w:r>
        <w:fldChar w:fldCharType="begin"/>
      </w:r>
      <w:r>
        <w:instrText xml:space="preserve"> PAGEREF _Toc88429831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"_Toc88429832" </w:instrText>
      </w:r>
      <w:r>
        <w:fldChar w:fldCharType="separate"/>
      </w:r>
      <w:r>
        <w:rPr>
          <w:rStyle w:val="34"/>
        </w:rPr>
        <w:t>8  数字生活场景服务</w:t>
      </w:r>
      <w:r>
        <w:tab/>
      </w:r>
      <w:r>
        <w:fldChar w:fldCharType="begin"/>
      </w:r>
      <w:r>
        <w:instrText xml:space="preserve"> PAGEREF _Toc88429832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"_Toc88429833" </w:instrText>
      </w:r>
      <w:r>
        <w:fldChar w:fldCharType="separate"/>
      </w:r>
      <w:r>
        <w:rPr>
          <w:rStyle w:val="34"/>
          <w14:scene3d w14:prst="orthographicFront">
            <w14:lightRig w14:rig="threePt" w14:dir="t">
              <w14:rot w14:lat="0" w14:lon="0" w14:rev="0"/>
            </w14:lightRig>
          </w14:scene3d>
        </w:rPr>
        <w:t xml:space="preserve">8.1 </w:t>
      </w:r>
      <w:r>
        <w:rPr>
          <w:rStyle w:val="34"/>
        </w:rPr>
        <w:t xml:space="preserve"> 邻里服务</w:t>
      </w:r>
      <w:r>
        <w:tab/>
      </w:r>
      <w:r>
        <w:fldChar w:fldCharType="begin"/>
      </w:r>
      <w:r>
        <w:instrText xml:space="preserve"> PAGEREF _Toc88429833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"_Toc88429834" </w:instrText>
      </w:r>
      <w:r>
        <w:fldChar w:fldCharType="separate"/>
      </w:r>
      <w:r>
        <w:rPr>
          <w:rStyle w:val="34"/>
          <w14:scene3d w14:prst="orthographicFront">
            <w14:lightRig w14:rig="threePt" w14:dir="t">
              <w14:rot w14:lat="0" w14:lon="0" w14:rev="0"/>
            </w14:lightRig>
          </w14:scene3d>
        </w:rPr>
        <w:t xml:space="preserve">8.2 </w:t>
      </w:r>
      <w:r>
        <w:rPr>
          <w:rStyle w:val="34"/>
        </w:rPr>
        <w:t xml:space="preserve"> 资讯服务</w:t>
      </w:r>
      <w:r>
        <w:tab/>
      </w:r>
      <w:r>
        <w:fldChar w:fldCharType="begin"/>
      </w:r>
      <w:r>
        <w:instrText xml:space="preserve"> PAGEREF _Toc88429834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"_Toc88429835" </w:instrText>
      </w:r>
      <w:r>
        <w:fldChar w:fldCharType="separate"/>
      </w:r>
      <w:r>
        <w:rPr>
          <w:rStyle w:val="34"/>
          <w14:scene3d w14:prst="orthographicFront">
            <w14:lightRig w14:rig="threePt" w14:dir="t">
              <w14:rot w14:lat="0" w14:lon="0" w14:rev="0"/>
            </w14:lightRig>
          </w14:scene3d>
        </w:rPr>
        <w:t xml:space="preserve">8.3 </w:t>
      </w:r>
      <w:r>
        <w:rPr>
          <w:rStyle w:val="34"/>
        </w:rPr>
        <w:t xml:space="preserve"> 电商平台</w:t>
      </w:r>
      <w:r>
        <w:tab/>
      </w:r>
      <w:r>
        <w:fldChar w:fldCharType="begin"/>
      </w:r>
      <w:r>
        <w:instrText xml:space="preserve"> PAGEREF _Toc88429835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"_Toc88429836" </w:instrText>
      </w:r>
      <w:r>
        <w:fldChar w:fldCharType="separate"/>
      </w:r>
      <w:r>
        <w:rPr>
          <w:rStyle w:val="34"/>
          <w14:scene3d w14:prst="orthographicFront">
            <w14:lightRig w14:rig="threePt" w14:dir="t">
              <w14:rot w14:lat="0" w14:lon="0" w14:rev="0"/>
            </w14:lightRig>
          </w14:scene3d>
        </w:rPr>
        <w:t xml:space="preserve">8.4 </w:t>
      </w:r>
      <w:r>
        <w:rPr>
          <w:rStyle w:val="34"/>
        </w:rPr>
        <w:t xml:space="preserve"> 智慧服务</w:t>
      </w:r>
      <w:r>
        <w:tab/>
      </w:r>
      <w:r>
        <w:fldChar w:fldCharType="begin"/>
      </w:r>
      <w:r>
        <w:instrText xml:space="preserve"> PAGEREF _Toc88429836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"_Toc88429837" </w:instrText>
      </w:r>
      <w:r>
        <w:fldChar w:fldCharType="separate"/>
      </w:r>
      <w:r>
        <w:rPr>
          <w:rStyle w:val="34"/>
        </w:rPr>
        <w:t>9  数字生态场景服务</w:t>
      </w:r>
      <w:r>
        <w:tab/>
      </w:r>
      <w:r>
        <w:fldChar w:fldCharType="begin"/>
      </w:r>
      <w:r>
        <w:instrText xml:space="preserve"> PAGEREF _Toc88429837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"_Toc88429838" </w:instrText>
      </w:r>
      <w:r>
        <w:fldChar w:fldCharType="separate"/>
      </w:r>
      <w:r>
        <w:rPr>
          <w:rStyle w:val="34"/>
          <w14:scene3d w14:prst="orthographicFront">
            <w14:lightRig w14:rig="threePt" w14:dir="t">
              <w14:rot w14:lat="0" w14:lon="0" w14:rev="0"/>
            </w14:lightRig>
          </w14:scene3d>
        </w:rPr>
        <w:t xml:space="preserve">9.1 </w:t>
      </w:r>
      <w:r>
        <w:rPr>
          <w:rStyle w:val="34"/>
        </w:rPr>
        <w:t xml:space="preserve"> 垃圾分类</w:t>
      </w:r>
      <w:r>
        <w:tab/>
      </w:r>
      <w:r>
        <w:fldChar w:fldCharType="begin"/>
      </w:r>
      <w:r>
        <w:instrText xml:space="preserve"> PAGEREF _Toc88429838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"_Toc88429839" </w:instrText>
      </w:r>
      <w:r>
        <w:fldChar w:fldCharType="separate"/>
      </w:r>
      <w:r>
        <w:rPr>
          <w:rStyle w:val="34"/>
          <w14:scene3d w14:prst="orthographicFront">
            <w14:lightRig w14:rig="threePt" w14:dir="t">
              <w14:rot w14:lat="0" w14:lon="0" w14:rev="0"/>
            </w14:lightRig>
          </w14:scene3d>
        </w:rPr>
        <w:t xml:space="preserve">9.2 </w:t>
      </w:r>
      <w:r>
        <w:rPr>
          <w:rStyle w:val="34"/>
        </w:rPr>
        <w:t xml:space="preserve"> 生态循环</w:t>
      </w:r>
      <w:r>
        <w:tab/>
      </w:r>
      <w:r>
        <w:fldChar w:fldCharType="begin"/>
      </w:r>
      <w:r>
        <w:instrText xml:space="preserve"> PAGEREF _Toc88429839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"_Toc88429840" </w:instrText>
      </w:r>
      <w:r>
        <w:fldChar w:fldCharType="separate"/>
      </w:r>
      <w:r>
        <w:rPr>
          <w:rStyle w:val="34"/>
          <w14:scene3d w14:prst="orthographicFront">
            <w14:lightRig w14:rig="threePt" w14:dir="t">
              <w14:rot w14:lat="0" w14:lon="0" w14:rev="0"/>
            </w14:lightRig>
          </w14:scene3d>
        </w:rPr>
        <w:t xml:space="preserve">9.3 </w:t>
      </w:r>
      <w:r>
        <w:rPr>
          <w:rStyle w:val="34"/>
        </w:rPr>
        <w:t xml:space="preserve"> 河道管理</w:t>
      </w:r>
      <w:r>
        <w:tab/>
      </w:r>
      <w:r>
        <w:fldChar w:fldCharType="begin"/>
      </w:r>
      <w:r>
        <w:instrText xml:space="preserve"> PAGEREF _Toc88429840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"_Toc88429841" </w:instrText>
      </w:r>
      <w:r>
        <w:fldChar w:fldCharType="separate"/>
      </w:r>
      <w:r>
        <w:rPr>
          <w:rStyle w:val="34"/>
          <w14:scene3d w14:prst="orthographicFront">
            <w14:lightRig w14:rig="threePt" w14:dir="t">
              <w14:rot w14:lat="0" w14:lon="0" w14:rev="0"/>
            </w14:lightRig>
          </w14:scene3d>
        </w:rPr>
        <w:t xml:space="preserve">9.4 </w:t>
      </w:r>
      <w:r>
        <w:rPr>
          <w:rStyle w:val="34"/>
        </w:rPr>
        <w:t xml:space="preserve"> 水文信息管理</w:t>
      </w:r>
      <w:r>
        <w:tab/>
      </w:r>
      <w:r>
        <w:fldChar w:fldCharType="begin"/>
      </w:r>
      <w:r>
        <w:instrText xml:space="preserve"> PAGEREF _Toc88429841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"_Toc88429842" </w:instrText>
      </w:r>
      <w:r>
        <w:fldChar w:fldCharType="separate"/>
      </w:r>
      <w:r>
        <w:rPr>
          <w:rStyle w:val="34"/>
          <w14:scene3d w14:prst="orthographicFront">
            <w14:lightRig w14:rig="threePt" w14:dir="t">
              <w14:rot w14:lat="0" w14:lon="0" w14:rev="0"/>
            </w14:lightRig>
          </w14:scene3d>
        </w:rPr>
        <w:t xml:space="preserve">9.5 </w:t>
      </w:r>
      <w:r>
        <w:rPr>
          <w:rStyle w:val="34"/>
        </w:rPr>
        <w:t xml:space="preserve"> 古树养护</w:t>
      </w:r>
      <w:r>
        <w:tab/>
      </w:r>
      <w:r>
        <w:fldChar w:fldCharType="begin"/>
      </w:r>
      <w:r>
        <w:instrText xml:space="preserve"> PAGEREF _Toc88429842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"_Toc88429843" </w:instrText>
      </w:r>
      <w:r>
        <w:fldChar w:fldCharType="separate"/>
      </w:r>
      <w:r>
        <w:rPr>
          <w:rStyle w:val="34"/>
        </w:rPr>
        <w:t>10  数字治理场景服务</w:t>
      </w:r>
      <w:r>
        <w:tab/>
      </w:r>
      <w:r>
        <w:fldChar w:fldCharType="begin"/>
      </w:r>
      <w:r>
        <w:instrText xml:space="preserve"> PAGEREF _Toc88429843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"_Toc88429844" </w:instrText>
      </w:r>
      <w:r>
        <w:fldChar w:fldCharType="separate"/>
      </w:r>
      <w:r>
        <w:rPr>
          <w:rStyle w:val="34"/>
          <w14:scene3d w14:prst="orthographicFront">
            <w14:lightRig w14:rig="threePt" w14:dir="t">
              <w14:rot w14:lat="0" w14:lon="0" w14:rev="0"/>
            </w14:lightRig>
          </w14:scene3d>
        </w:rPr>
        <w:t xml:space="preserve">10.1 </w:t>
      </w:r>
      <w:r>
        <w:rPr>
          <w:rStyle w:val="34"/>
        </w:rPr>
        <w:t xml:space="preserve"> “三务”公开</w:t>
      </w:r>
      <w:r>
        <w:tab/>
      </w:r>
      <w:r>
        <w:fldChar w:fldCharType="begin"/>
      </w:r>
      <w:r>
        <w:instrText xml:space="preserve"> PAGEREF _Toc88429844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"_Toc88429845" </w:instrText>
      </w:r>
      <w:r>
        <w:fldChar w:fldCharType="separate"/>
      </w:r>
      <w:r>
        <w:rPr>
          <w:rStyle w:val="34"/>
          <w14:scene3d w14:prst="orthographicFront">
            <w14:lightRig w14:rig="threePt" w14:dir="t">
              <w14:rot w14:lat="0" w14:lon="0" w14:rev="0"/>
            </w14:lightRig>
          </w14:scene3d>
        </w:rPr>
        <w:t xml:space="preserve">10.2 </w:t>
      </w:r>
      <w:r>
        <w:rPr>
          <w:rStyle w:val="34"/>
        </w:rPr>
        <w:t xml:space="preserve"> 基层治理</w:t>
      </w:r>
      <w:r>
        <w:tab/>
      </w:r>
      <w:r>
        <w:fldChar w:fldCharType="begin"/>
      </w:r>
      <w:r>
        <w:instrText xml:space="preserve"> PAGEREF _Toc88429845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"_Toc88429846" </w:instrText>
      </w:r>
      <w:r>
        <w:fldChar w:fldCharType="separate"/>
      </w:r>
      <w:r>
        <w:rPr>
          <w:rStyle w:val="34"/>
          <w14:scene3d w14:prst="orthographicFront">
            <w14:lightRig w14:rig="threePt" w14:dir="t">
              <w14:rot w14:lat="0" w14:lon="0" w14:rev="0"/>
            </w14:lightRig>
          </w14:scene3d>
        </w:rPr>
        <w:t xml:space="preserve">10.3 </w:t>
      </w:r>
      <w:r>
        <w:rPr>
          <w:rStyle w:val="34"/>
        </w:rPr>
        <w:t xml:space="preserve"> 文明诚信</w:t>
      </w:r>
      <w:r>
        <w:tab/>
      </w:r>
      <w:r>
        <w:fldChar w:fldCharType="begin"/>
      </w:r>
      <w:r>
        <w:instrText xml:space="preserve"> PAGEREF _Toc88429846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"_Toc88429847" </w:instrText>
      </w:r>
      <w:r>
        <w:fldChar w:fldCharType="separate"/>
      </w:r>
      <w:r>
        <w:rPr>
          <w:rStyle w:val="34"/>
          <w14:scene3d w14:prst="orthographicFront">
            <w14:lightRig w14:rig="threePt" w14:dir="t">
              <w14:rot w14:lat="0" w14:lon="0" w14:rev="0"/>
            </w14:lightRig>
          </w14:scene3d>
        </w:rPr>
        <w:t xml:space="preserve">10.4 </w:t>
      </w:r>
      <w:r>
        <w:rPr>
          <w:rStyle w:val="34"/>
        </w:rPr>
        <w:t xml:space="preserve"> 信访投诉</w:t>
      </w:r>
      <w:r>
        <w:tab/>
      </w:r>
      <w:r>
        <w:fldChar w:fldCharType="begin"/>
      </w:r>
      <w:r>
        <w:instrText xml:space="preserve"> PAGEREF _Toc88429847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"_Toc88429848" </w:instrText>
      </w:r>
      <w:r>
        <w:fldChar w:fldCharType="separate"/>
      </w:r>
      <w:r>
        <w:rPr>
          <w:rStyle w:val="34"/>
        </w:rPr>
        <w:t>11  服务保障</w:t>
      </w:r>
      <w:r>
        <w:tab/>
      </w:r>
      <w:r>
        <w:fldChar w:fldCharType="begin"/>
      </w:r>
      <w:r>
        <w:instrText xml:space="preserve"> PAGEREF _Toc88429848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"_Toc88429849" </w:instrText>
      </w:r>
      <w:r>
        <w:fldChar w:fldCharType="separate"/>
      </w:r>
      <w:r>
        <w:rPr>
          <w:rStyle w:val="34"/>
          <w14:scene3d w14:prst="orthographicFront">
            <w14:lightRig w14:rig="threePt" w14:dir="t">
              <w14:rot w14:lat="0" w14:lon="0" w14:rev="0"/>
            </w14:lightRig>
          </w14:scene3d>
        </w:rPr>
        <w:t xml:space="preserve">11.1 </w:t>
      </w:r>
      <w:r>
        <w:rPr>
          <w:rStyle w:val="34"/>
        </w:rPr>
        <w:t xml:space="preserve"> 人员保障</w:t>
      </w:r>
      <w:r>
        <w:tab/>
      </w:r>
      <w:r>
        <w:fldChar w:fldCharType="begin"/>
      </w:r>
      <w:r>
        <w:instrText xml:space="preserve"> PAGEREF _Toc88429849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"_Toc88429850" </w:instrText>
      </w:r>
      <w:r>
        <w:fldChar w:fldCharType="separate"/>
      </w:r>
      <w:r>
        <w:rPr>
          <w:rStyle w:val="34"/>
          <w14:scene3d w14:prst="orthographicFront">
            <w14:lightRig w14:rig="threePt" w14:dir="t">
              <w14:rot w14:lat="0" w14:lon="0" w14:rev="0"/>
            </w14:lightRig>
          </w14:scene3d>
        </w:rPr>
        <w:t xml:space="preserve">11.2 </w:t>
      </w:r>
      <w:r>
        <w:rPr>
          <w:rStyle w:val="34"/>
        </w:rPr>
        <w:t xml:space="preserve"> 安全保障</w:t>
      </w:r>
      <w:r>
        <w:tab/>
      </w:r>
      <w:r>
        <w:fldChar w:fldCharType="begin"/>
      </w:r>
      <w:r>
        <w:instrText xml:space="preserve"> PAGEREF _Toc88429850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"_Toc88429851" </w:instrText>
      </w:r>
      <w:r>
        <w:fldChar w:fldCharType="separate"/>
      </w:r>
      <w:r>
        <w:rPr>
          <w:rStyle w:val="34"/>
        </w:rPr>
        <w:t>12  服务质量管理</w:t>
      </w:r>
      <w:r>
        <w:tab/>
      </w:r>
      <w:r>
        <w:fldChar w:fldCharType="begin"/>
      </w:r>
      <w:r>
        <w:instrText xml:space="preserve"> PAGEREF _Toc88429851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"_Toc88429852" </w:instrText>
      </w:r>
      <w:r>
        <w:fldChar w:fldCharType="separate"/>
      </w:r>
      <w:r>
        <w:rPr>
          <w:rStyle w:val="34"/>
          <w14:scene3d w14:prst="orthographicFront">
            <w14:lightRig w14:rig="threePt" w14:dir="t">
              <w14:rot w14:lat="0" w14:lon="0" w14:rev="0"/>
            </w14:lightRig>
          </w14:scene3d>
        </w:rPr>
        <w:t xml:space="preserve">12.1 </w:t>
      </w:r>
      <w:r>
        <w:rPr>
          <w:rStyle w:val="34"/>
        </w:rPr>
        <w:t xml:space="preserve"> 服务质量评价与改进</w:t>
      </w:r>
      <w:r>
        <w:tab/>
      </w:r>
      <w:r>
        <w:fldChar w:fldCharType="begin"/>
      </w:r>
      <w:r>
        <w:instrText xml:space="preserve"> PAGEREF _Toc88429852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"_Toc88429853" </w:instrText>
      </w:r>
      <w:r>
        <w:fldChar w:fldCharType="separate"/>
      </w:r>
      <w:r>
        <w:rPr>
          <w:rStyle w:val="34"/>
          <w14:scene3d w14:prst="orthographicFront">
            <w14:lightRig w14:rig="threePt" w14:dir="t">
              <w14:rot w14:lat="0" w14:lon="0" w14:rev="0"/>
            </w14:lightRig>
          </w14:scene3d>
        </w:rPr>
        <w:t xml:space="preserve">12.2 </w:t>
      </w:r>
      <w:r>
        <w:rPr>
          <w:rStyle w:val="34"/>
        </w:rPr>
        <w:t xml:space="preserve"> 投诉处理</w:t>
      </w:r>
      <w:r>
        <w:tab/>
      </w:r>
      <w:r>
        <w:fldChar w:fldCharType="begin"/>
      </w:r>
      <w:r>
        <w:instrText xml:space="preserve"> PAGEREF _Toc88429853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"_Toc88429854" </w:instrText>
      </w:r>
      <w:r>
        <w:fldChar w:fldCharType="separate"/>
      </w:r>
      <w:r>
        <w:rPr>
          <w:rStyle w:val="34"/>
        </w:rPr>
        <w:t>附录A（规范性）  未来乡村智慧广电公共服务载体</w:t>
      </w:r>
      <w:r>
        <w:tab/>
      </w:r>
      <w:r>
        <w:fldChar w:fldCharType="begin"/>
      </w:r>
      <w:r>
        <w:instrText xml:space="preserve"> PAGEREF _Toc88429854 \h </w:instrText>
      </w:r>
      <w:r>
        <w:fldChar w:fldCharType="separate"/>
      </w:r>
      <w:r>
        <w:t>13</w:t>
      </w:r>
      <w:r>
        <w:fldChar w:fldCharType="end"/>
      </w:r>
      <w:r>
        <w:fldChar w:fldCharType="end"/>
      </w:r>
    </w:p>
    <w:p>
      <w:pPr>
        <w:pStyle w:val="93"/>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1"/>
        <w:spacing w:after="468"/>
      </w:pPr>
      <w:bookmarkStart w:id="28" w:name="_Toc88429811"/>
      <w:bookmarkStart w:id="29" w:name="BookMark2"/>
      <w:r>
        <w:rPr>
          <w:spacing w:val="320"/>
        </w:rPr>
        <w:t>前</w:t>
      </w:r>
      <w:r>
        <w:t>言</w:t>
      </w:r>
      <w:bookmarkEnd w:id="22"/>
      <w:bookmarkEnd w:id="23"/>
      <w:bookmarkEnd w:id="24"/>
      <w:bookmarkEnd w:id="25"/>
      <w:bookmarkEnd w:id="26"/>
      <w:bookmarkEnd w:id="27"/>
      <w:bookmarkEnd w:id="28"/>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本文件由湖州市文化广电旅游局提出并归口。</w:t>
      </w:r>
    </w:p>
    <w:p>
      <w:pPr>
        <w:pStyle w:val="58"/>
        <w:ind w:firstLine="420"/>
      </w:pPr>
      <w:r>
        <w:rPr>
          <w:rFonts w:hint="eastAsia"/>
        </w:rPr>
        <w:t>本文件起草单位：长兴广播电视台、长兴广播电视网络有限公司、浙江慧源科技信息有限公司、浙江慧源数字经济发展有限公司等。</w:t>
      </w:r>
    </w:p>
    <w:p>
      <w:pPr>
        <w:pStyle w:val="58"/>
        <w:ind w:firstLine="420"/>
      </w:pPr>
      <w:r>
        <w:rPr>
          <w:rFonts w:hint="eastAsia"/>
        </w:rPr>
        <w:t>本文件主要起草人：</w:t>
      </w:r>
    </w:p>
    <w:p>
      <w:pPr>
        <w:pStyle w:val="58"/>
        <w:ind w:firstLine="420"/>
      </w:pPr>
    </w:p>
    <w:p>
      <w:pPr>
        <w:pStyle w:val="58"/>
        <w:ind w:firstLine="420"/>
        <w:sectPr>
          <w:pgSz w:w="11906" w:h="16838"/>
          <w:pgMar w:top="2410" w:right="1134" w:bottom="1134" w:left="1134" w:header="1418" w:footer="1134" w:gutter="284"/>
          <w:pgNumType w:fmt="upperRoman"/>
          <w:cols w:space="425" w:num="1"/>
          <w:formProt w:val="0"/>
          <w:docGrid w:type="lines" w:linePitch="312" w:charSpace="0"/>
        </w:sectPr>
      </w:pPr>
    </w:p>
    <w:bookmarkEnd w:id="29"/>
    <w:p>
      <w:pPr>
        <w:spacing w:line="20" w:lineRule="exact"/>
        <w:jc w:val="center"/>
        <w:rPr>
          <w:rFonts w:ascii="黑体" w:hAnsi="黑体" w:eastAsia="黑体"/>
          <w:sz w:val="32"/>
          <w:szCs w:val="32"/>
        </w:rPr>
      </w:pPr>
      <w:bookmarkStart w:id="30" w:name="BookMark4"/>
    </w:p>
    <w:p>
      <w:pPr>
        <w:spacing w:line="20" w:lineRule="exact"/>
        <w:jc w:val="center"/>
        <w:rPr>
          <w:rFonts w:ascii="黑体" w:hAnsi="黑体" w:eastAsia="黑体"/>
          <w:sz w:val="32"/>
          <w:szCs w:val="32"/>
        </w:rPr>
      </w:pPr>
    </w:p>
    <w:sdt>
      <w:sdtPr>
        <w:tag w:val="NEW_STAND_NAME"/>
        <w:id w:val="595910757"/>
        <w:lock w:val="sdtLocked"/>
        <w:placeholder>
          <w:docPart w:val="8F33C47399A34115B6338D75C644B872"/>
        </w:placeholder>
      </w:sdtPr>
      <w:sdtContent>
        <w:p>
          <w:pPr>
            <w:pStyle w:val="179"/>
            <w:spacing w:before="3" w:beforeLines="1" w:after="686" w:afterLines="220"/>
          </w:pPr>
          <w:bookmarkStart w:id="31" w:name="NEW_STAND_NAME"/>
          <w:r>
            <w:rPr>
              <w:rFonts w:hint="eastAsia"/>
            </w:rPr>
            <w:t>未来乡村智慧广电建设与服务规范</w:t>
          </w:r>
        </w:p>
      </w:sdtContent>
    </w:sdt>
    <w:bookmarkEnd w:id="31"/>
    <w:p>
      <w:pPr>
        <w:pStyle w:val="106"/>
        <w:spacing w:before="312" w:after="312"/>
      </w:pPr>
      <w:bookmarkStart w:id="32" w:name="_Toc17233325"/>
      <w:bookmarkStart w:id="33" w:name="_Toc24884218"/>
      <w:bookmarkStart w:id="34" w:name="_Toc80218180"/>
      <w:bookmarkStart w:id="35" w:name="_Toc17233333"/>
      <w:bookmarkStart w:id="36" w:name="_Toc26648465"/>
      <w:bookmarkStart w:id="37" w:name="_Toc26986771"/>
      <w:bookmarkStart w:id="38" w:name="_Toc80218999"/>
      <w:bookmarkStart w:id="39" w:name="_Toc26986530"/>
      <w:bookmarkStart w:id="40" w:name="_Toc83763184"/>
      <w:bookmarkStart w:id="41" w:name="_Toc85221339"/>
      <w:bookmarkStart w:id="42" w:name="_Toc26718930"/>
      <w:bookmarkStart w:id="43" w:name="_Toc24884211"/>
      <w:bookmarkStart w:id="44" w:name="_Toc86955842"/>
      <w:bookmarkStart w:id="45" w:name="_Toc88429812"/>
      <w:bookmarkStart w:id="46" w:name="_Toc87382938"/>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58"/>
        <w:ind w:firstLine="420"/>
      </w:pPr>
      <w:bookmarkStart w:id="47" w:name="_Toc17233334"/>
      <w:bookmarkStart w:id="48" w:name="_Toc17233326"/>
      <w:bookmarkStart w:id="49" w:name="_Toc24884212"/>
      <w:bookmarkStart w:id="50" w:name="_Toc26648466"/>
      <w:bookmarkStart w:id="51" w:name="_Toc24884219"/>
      <w:r>
        <w:rPr>
          <w:rFonts w:hint="eastAsia"/>
        </w:rPr>
        <w:t>本文件规定了</w:t>
      </w:r>
      <w:bookmarkStart w:id="52" w:name="_Hlk88601238"/>
      <w:r>
        <w:rPr>
          <w:rFonts w:hint="eastAsia"/>
        </w:rPr>
        <w:t>未来乡村智慧广电公共服务建设架构、网络基础建设、服务场景框架、数字生产场景服务、数字生活场景服务、数字生态场景服务、数字治理场景服务、服务保障和服务质量管理的要求</w:t>
      </w:r>
      <w:bookmarkEnd w:id="52"/>
      <w:r>
        <w:rPr>
          <w:rFonts w:hint="eastAsia"/>
        </w:rPr>
        <w:t>。</w:t>
      </w:r>
    </w:p>
    <w:p>
      <w:pPr>
        <w:pStyle w:val="58"/>
        <w:ind w:firstLine="420"/>
      </w:pPr>
      <w:r>
        <w:rPr>
          <w:rFonts w:hint="eastAsia"/>
        </w:rPr>
        <w:t>本文件适用于未来乡村智慧广电建设与服务工作。</w:t>
      </w:r>
    </w:p>
    <w:p>
      <w:pPr>
        <w:pStyle w:val="106"/>
        <w:spacing w:before="312" w:after="312"/>
      </w:pPr>
      <w:bookmarkStart w:id="53" w:name="_Toc26986531"/>
      <w:bookmarkStart w:id="54" w:name="_Toc85221340"/>
      <w:bookmarkStart w:id="55" w:name="_Toc26986772"/>
      <w:bookmarkStart w:id="56" w:name="_Toc80218181"/>
      <w:bookmarkStart w:id="57" w:name="_Toc80219000"/>
      <w:bookmarkStart w:id="58" w:name="_Toc83763185"/>
      <w:bookmarkStart w:id="59" w:name="_Toc26718931"/>
      <w:bookmarkStart w:id="60" w:name="_Toc87382939"/>
      <w:bookmarkStart w:id="61" w:name="_Toc88429813"/>
      <w:bookmarkStart w:id="62" w:name="_Toc86955843"/>
      <w:r>
        <w:rPr>
          <w:rFonts w:hint="eastAsia"/>
        </w:rPr>
        <w:t>规范性引用文件</w:t>
      </w:r>
      <w:bookmarkEnd w:id="47"/>
      <w:bookmarkEnd w:id="48"/>
      <w:bookmarkEnd w:id="49"/>
      <w:bookmarkEnd w:id="50"/>
      <w:bookmarkEnd w:id="51"/>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9BF6CA0256D34DC59535C1ADBFF90EB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pPr>
      <w:r>
        <w:rPr>
          <w:rFonts w:hint="eastAsia"/>
        </w:rPr>
        <w:t>GB/T 37273-2018 公共服务效果测评通则</w:t>
      </w:r>
    </w:p>
    <w:p>
      <w:pPr>
        <w:pStyle w:val="106"/>
        <w:spacing w:before="312" w:after="312"/>
      </w:pPr>
      <w:bookmarkStart w:id="63" w:name="_Toc80219001"/>
      <w:bookmarkStart w:id="64" w:name="_Toc83763186"/>
      <w:bookmarkStart w:id="65" w:name="_Toc80218182"/>
      <w:bookmarkStart w:id="66" w:name="_Toc87382940"/>
      <w:bookmarkStart w:id="67" w:name="_Toc88429814"/>
      <w:bookmarkStart w:id="68" w:name="_Toc85221341"/>
      <w:bookmarkStart w:id="69" w:name="_Toc86955844"/>
      <w:r>
        <w:rPr>
          <w:rFonts w:hint="eastAsia"/>
          <w:szCs w:val="21"/>
        </w:rPr>
        <w:t>术语和定义</w:t>
      </w:r>
      <w:bookmarkEnd w:id="63"/>
      <w:bookmarkEnd w:id="64"/>
      <w:bookmarkEnd w:id="65"/>
      <w:bookmarkEnd w:id="66"/>
      <w:bookmarkEnd w:id="67"/>
      <w:bookmarkEnd w:id="68"/>
      <w:bookmarkEnd w:id="69"/>
    </w:p>
    <w:sdt>
      <w:sdtPr>
        <w:id w:val="-1909835108"/>
        <w:placeholder>
          <w:docPart w:val="4107C6685EC0446D833BDCB6D88E24B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70" w:name="_Toc26986532"/>
          <w:bookmarkEnd w:id="70"/>
          <w:r>
            <w:t>下列术语和定义适用于本文件。</w:t>
          </w:r>
        </w:p>
      </w:sdtContent>
    </w:sdt>
    <w:p>
      <w:pPr>
        <w:pStyle w:val="107"/>
        <w:spacing w:before="156" w:after="156"/>
      </w:pPr>
      <w:bookmarkStart w:id="71" w:name="_Toc80219002"/>
      <w:bookmarkEnd w:id="71"/>
      <w:bookmarkStart w:id="72" w:name="_Toc88429815"/>
      <w:bookmarkEnd w:id="72"/>
      <w:bookmarkStart w:id="73" w:name="_Toc83763187"/>
      <w:bookmarkEnd w:id="73"/>
      <w:bookmarkStart w:id="74" w:name="_Toc87382941"/>
      <w:bookmarkEnd w:id="74"/>
      <w:bookmarkStart w:id="75" w:name="_Toc80218183"/>
      <w:bookmarkEnd w:id="75"/>
      <w:bookmarkStart w:id="76" w:name="_Toc85221342"/>
      <w:bookmarkEnd w:id="76"/>
      <w:bookmarkStart w:id="77" w:name="_Toc86955845"/>
      <w:bookmarkEnd w:id="77"/>
    </w:p>
    <w:p>
      <w:pPr>
        <w:pStyle w:val="107"/>
        <w:numPr>
          <w:ilvl w:val="0"/>
          <w:numId w:val="0"/>
        </w:numPr>
        <w:spacing w:before="156" w:after="156"/>
        <w:ind w:firstLine="420" w:firstLineChars="200"/>
      </w:pPr>
      <w:bookmarkStart w:id="78" w:name="_Toc83763188"/>
      <w:bookmarkStart w:id="79" w:name="_Toc85221343"/>
      <w:bookmarkStart w:id="80" w:name="_Toc86955846"/>
      <w:bookmarkStart w:id="81" w:name="_Toc87382942"/>
      <w:bookmarkStart w:id="82" w:name="_Toc88429816"/>
      <w:bookmarkStart w:id="83" w:name="_Toc80218184"/>
      <w:bookmarkStart w:id="84" w:name="_Toc80219003"/>
      <w:r>
        <w:rPr>
          <w:rFonts w:hint="eastAsia"/>
        </w:rPr>
        <w:t>公共服务 public services</w:t>
      </w:r>
      <w:bookmarkEnd w:id="78"/>
      <w:bookmarkEnd w:id="79"/>
      <w:bookmarkEnd w:id="80"/>
      <w:bookmarkEnd w:id="81"/>
      <w:bookmarkEnd w:id="82"/>
      <w:bookmarkEnd w:id="83"/>
      <w:bookmarkEnd w:id="84"/>
    </w:p>
    <w:p>
      <w:pPr>
        <w:pStyle w:val="58"/>
        <w:ind w:firstLine="420"/>
      </w:pPr>
      <w:r>
        <w:rPr>
          <w:rFonts w:hint="eastAsia"/>
        </w:rPr>
        <w:t>政府公共部门为满足公众公共需求，通过使用公共权利或公共资源，运用融资、监管或直接产生的方式，向全体公众或某一类公众群体提供的具有共同消费性质的物品和服务。</w:t>
      </w:r>
    </w:p>
    <w:p>
      <w:pPr>
        <w:pStyle w:val="58"/>
        <w:ind w:firstLine="420"/>
      </w:pPr>
      <w:r>
        <w:rPr>
          <w:rFonts w:hint="eastAsia"/>
        </w:rPr>
        <w:t>[GB/T 37273-2018，3.1]</w:t>
      </w:r>
    </w:p>
    <w:p>
      <w:pPr>
        <w:pStyle w:val="107"/>
        <w:spacing w:before="156" w:after="156"/>
      </w:pPr>
      <w:bookmarkStart w:id="85" w:name="_Toc85221344"/>
      <w:bookmarkEnd w:id="85"/>
      <w:bookmarkStart w:id="86" w:name="_Toc80218185"/>
      <w:bookmarkEnd w:id="86"/>
      <w:bookmarkStart w:id="87" w:name="_Toc88429817"/>
      <w:bookmarkEnd w:id="87"/>
      <w:bookmarkStart w:id="88" w:name="_Toc87382943"/>
      <w:bookmarkEnd w:id="88"/>
      <w:bookmarkStart w:id="89" w:name="_Toc80219004"/>
      <w:bookmarkEnd w:id="89"/>
      <w:bookmarkStart w:id="90" w:name="_Toc83763189"/>
      <w:bookmarkEnd w:id="90"/>
      <w:bookmarkStart w:id="91" w:name="_Toc86955847"/>
      <w:bookmarkEnd w:id="91"/>
    </w:p>
    <w:p>
      <w:pPr>
        <w:pStyle w:val="107"/>
        <w:numPr>
          <w:ilvl w:val="0"/>
          <w:numId w:val="0"/>
        </w:numPr>
        <w:spacing w:before="156" w:after="156"/>
        <w:ind w:firstLine="420" w:firstLineChars="200"/>
      </w:pPr>
      <w:bookmarkStart w:id="92" w:name="_Toc85221345"/>
      <w:bookmarkStart w:id="93" w:name="_Toc87382944"/>
      <w:bookmarkStart w:id="94" w:name="_Toc83763190"/>
      <w:bookmarkStart w:id="95" w:name="_Toc86955848"/>
      <w:bookmarkStart w:id="96" w:name="_Toc88429818"/>
      <w:r>
        <w:rPr>
          <w:rFonts w:hint="eastAsia"/>
        </w:rPr>
        <w:t>未来乡村</w:t>
      </w:r>
      <w:r>
        <w:t>future village</w:t>
      </w:r>
      <w:bookmarkEnd w:id="92"/>
      <w:bookmarkEnd w:id="93"/>
      <w:bookmarkEnd w:id="94"/>
      <w:bookmarkEnd w:id="95"/>
      <w:bookmarkEnd w:id="96"/>
    </w:p>
    <w:p>
      <w:pPr>
        <w:pStyle w:val="58"/>
        <w:ind w:firstLine="420"/>
      </w:pPr>
      <w:r>
        <w:rPr>
          <w:rFonts w:hint="eastAsia"/>
        </w:rPr>
        <w:t>以实施乡村振兴战略为统领，以新时代美丽乡村为基础，以数字化改革为引领，以满足人民对美好生活向往为根本目的，围绕壮大主导产业、塑造主体风貌、培育主题文化目标，强化人本化、生态化、数字化、融合化、共享化导向，建设未来邻里、文化、健康、低碳、产业、风貌、交通、智慧、治理、党建等场景，培育农业农村现代化的先行示范，打造引领乡村振兴方向的生态、生产、生活共同体。</w:t>
      </w:r>
    </w:p>
    <w:p>
      <w:pPr>
        <w:pStyle w:val="106"/>
        <w:spacing w:before="312" w:after="312"/>
      </w:pPr>
      <w:bookmarkStart w:id="97" w:name="_Toc86955849"/>
      <w:bookmarkStart w:id="98" w:name="_Toc87382945"/>
      <w:bookmarkStart w:id="99" w:name="_Toc88429819"/>
      <w:r>
        <w:rPr>
          <w:rFonts w:hint="eastAsia"/>
        </w:rPr>
        <w:t>智慧广电公共服务建设架构</w:t>
      </w:r>
      <w:bookmarkEnd w:id="97"/>
      <w:bookmarkEnd w:id="98"/>
      <w:bookmarkEnd w:id="99"/>
    </w:p>
    <w:p>
      <w:pPr>
        <w:pStyle w:val="58"/>
        <w:ind w:firstLine="420"/>
      </w:pPr>
      <w:bookmarkStart w:id="100" w:name="_Hlk88601315"/>
      <w:r>
        <w:rPr>
          <w:rFonts w:hint="eastAsia"/>
        </w:rPr>
        <w:t>未来乡村智慧广电公共建设架构划分为网络基础层、智慧应用层、应用终端三个层次要素和一个支撑体系</w:t>
      </w:r>
      <w:bookmarkEnd w:id="100"/>
      <w:r>
        <w:rPr>
          <w:rFonts w:hint="eastAsia"/>
        </w:rPr>
        <w:t>，如图1所示。横向层次要素的上层对其下层具有依赖关系，纵向支撑体系对于三个横向层次要素具有约束关系。分别描述如下：</w:t>
      </w:r>
    </w:p>
    <w:p>
      <w:pPr>
        <w:pStyle w:val="176"/>
      </w:pPr>
      <w:r>
        <w:rPr>
          <w:rFonts w:hint="eastAsia"/>
        </w:rPr>
        <w:t>网络基础层为未来乡村智慧广电技术应用与服务提供大容量、高带宽、高可靠的通信网络，包括数据服务、W</w:t>
      </w:r>
      <w:r>
        <w:t>i-Fi</w:t>
      </w:r>
      <w:r>
        <w:rPr>
          <w:rFonts w:hint="eastAsia"/>
        </w:rPr>
        <w:t>、数字电视、广播、视频监控网络等；</w:t>
      </w:r>
    </w:p>
    <w:p>
      <w:pPr>
        <w:pStyle w:val="176"/>
      </w:pPr>
      <w:r>
        <w:rPr>
          <w:rFonts w:hint="eastAsia"/>
        </w:rPr>
        <w:t>智慧应用层包含智慧生产、智慧生活、智慧生态和智慧治理等,重点体现广电技术应用与服务的内容；</w:t>
      </w:r>
      <w:r>
        <w:t xml:space="preserve"> </w:t>
      </w:r>
    </w:p>
    <w:p>
      <w:pPr>
        <w:pStyle w:val="176"/>
      </w:pPr>
      <w:r>
        <w:rPr>
          <w:rFonts w:hint="eastAsia"/>
        </w:rPr>
        <w:t>应用终端包含广播、客户端、本地屏、移动平台等，是用户获取智慧广电资源和服务的入口，；</w:t>
      </w:r>
      <w:r>
        <w:t xml:space="preserve"> </w:t>
      </w:r>
    </w:p>
    <w:p>
      <w:pPr>
        <w:pStyle w:val="176"/>
      </w:pPr>
      <w:r>
        <w:rPr>
          <w:rFonts w:hint="eastAsia"/>
        </w:rPr>
        <w:t>信息安全体系为智慧广电技术应用与服务提供信息安全保障，包含刊播安全、网络安全、数据安全等。</w:t>
      </w:r>
      <w:r>
        <w:t xml:space="preserve"> </w:t>
      </w:r>
    </w:p>
    <w:p>
      <w:pPr>
        <w:pStyle w:val="58"/>
        <w:ind w:firstLine="0" w:firstLineChars="0"/>
        <w:jc w:val="left"/>
      </w:pPr>
      <w:r>
        <w:drawing>
          <wp:inline distT="0" distB="0" distL="0" distR="0">
            <wp:extent cx="5939790" cy="2112645"/>
            <wp:effectExtent l="0" t="0" r="381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5939790" cy="2112645"/>
                    </a:xfrm>
                    <a:prstGeom prst="rect">
                      <a:avLst/>
                    </a:prstGeom>
                  </pic:spPr>
                </pic:pic>
              </a:graphicData>
            </a:graphic>
          </wp:inline>
        </w:drawing>
      </w:r>
    </w:p>
    <w:p>
      <w:pPr>
        <w:pStyle w:val="116"/>
        <w:spacing w:before="156" w:after="156"/>
      </w:pPr>
      <w:r>
        <w:rPr>
          <w:rFonts w:hint="eastAsia"/>
        </w:rPr>
        <w:t>未来乡村智慧广电公共服务建设架构</w:t>
      </w:r>
    </w:p>
    <w:p>
      <w:pPr>
        <w:pStyle w:val="106"/>
        <w:spacing w:before="312" w:after="312"/>
      </w:pPr>
      <w:bookmarkStart w:id="101" w:name="_Toc86955850"/>
      <w:bookmarkStart w:id="102" w:name="_Toc87382946"/>
      <w:bookmarkStart w:id="103" w:name="_Toc88429820"/>
      <w:bookmarkStart w:id="104" w:name="_Toc80218193"/>
      <w:bookmarkStart w:id="105" w:name="_Toc80219012"/>
      <w:bookmarkStart w:id="106" w:name="_Toc83763194"/>
      <w:bookmarkStart w:id="107" w:name="_Toc85221349"/>
      <w:r>
        <w:rPr>
          <w:rFonts w:hint="eastAsia"/>
        </w:rPr>
        <w:t>网络基础建设</w:t>
      </w:r>
      <w:bookmarkEnd w:id="101"/>
      <w:bookmarkEnd w:id="102"/>
      <w:bookmarkEnd w:id="103"/>
    </w:p>
    <w:p>
      <w:pPr>
        <w:pStyle w:val="107"/>
        <w:spacing w:before="156" w:after="156"/>
      </w:pPr>
      <w:bookmarkStart w:id="108" w:name="_Toc88429821"/>
      <w:r>
        <w:rPr>
          <w:rFonts w:hint="eastAsia"/>
        </w:rPr>
        <w:t>融媒体指挥平台</w:t>
      </w:r>
      <w:bookmarkEnd w:id="108"/>
    </w:p>
    <w:p>
      <w:pPr>
        <w:pStyle w:val="58"/>
        <w:ind w:firstLine="420"/>
      </w:pPr>
      <w:r>
        <w:rPr>
          <w:rFonts w:hint="eastAsia"/>
        </w:rPr>
        <w:t>根据地方广电媒体实际情况，建立融媒体指挥平台，打通广播、电视、客户端、新媒体平台以及应急广播所有内容的生产平台与业务流程，构建全新智媒体融合发展生态。</w:t>
      </w:r>
    </w:p>
    <w:p>
      <w:pPr>
        <w:pStyle w:val="107"/>
        <w:spacing w:before="156" w:after="156"/>
      </w:pPr>
      <w:bookmarkStart w:id="109" w:name="_Toc88429822"/>
      <w:bookmarkStart w:id="110" w:name="_Toc86955851"/>
      <w:bookmarkStart w:id="111" w:name="_Toc87382947"/>
      <w:r>
        <w:rPr>
          <w:rFonts w:hint="eastAsia"/>
        </w:rPr>
        <w:t>数字电视网</w:t>
      </w:r>
      <w:bookmarkEnd w:id="109"/>
      <w:bookmarkEnd w:id="110"/>
      <w:bookmarkEnd w:id="111"/>
    </w:p>
    <w:p>
      <w:pPr>
        <w:pStyle w:val="58"/>
        <w:ind w:firstLine="420"/>
      </w:pPr>
      <w:r>
        <w:rPr>
          <w:rFonts w:hint="eastAsia"/>
        </w:rPr>
        <w:t>接收电视信号通过相应设备将信源传输给广电机房，能够实现4K信号传输；广电机房通过本地数字电视前端系统将信源整合处理之后，通过到各乡镇的环路光缆传送至各乡镇广电站，各乡镇广电站将信号经各站机房设备分发后通过光缆传送到用户侧，覆盖</w:t>
      </w:r>
      <w:r>
        <w:rPr>
          <w:rFonts w:hint="eastAsia"/>
          <w:lang w:val="en-US" w:eastAsia="zh-CN"/>
        </w:rPr>
        <w:t>范围包括所有收看需求的用户，</w:t>
      </w:r>
      <w:r>
        <w:rPr>
          <w:rFonts w:hint="eastAsia"/>
        </w:rPr>
        <w:t>用户通过相应接收设备正常收看。</w:t>
      </w:r>
    </w:p>
    <w:p>
      <w:pPr>
        <w:pStyle w:val="107"/>
        <w:spacing w:before="156" w:after="156"/>
      </w:pPr>
      <w:bookmarkStart w:id="112" w:name="_Toc86955852"/>
      <w:bookmarkStart w:id="113" w:name="_Toc87382948"/>
      <w:bookmarkStart w:id="114" w:name="_Toc88429823"/>
      <w:bookmarkStart w:id="115" w:name="_Hlk88601477"/>
      <w:r>
        <w:rPr>
          <w:rFonts w:hint="eastAsia"/>
        </w:rPr>
        <w:t>广电点播、宽带等数据</w:t>
      </w:r>
      <w:bookmarkEnd w:id="112"/>
      <w:bookmarkEnd w:id="113"/>
      <w:r>
        <w:rPr>
          <w:rFonts w:hint="eastAsia"/>
        </w:rPr>
        <w:t>服务</w:t>
      </w:r>
      <w:bookmarkEnd w:id="114"/>
    </w:p>
    <w:bookmarkEnd w:id="115"/>
    <w:p>
      <w:pPr>
        <w:pStyle w:val="58"/>
        <w:ind w:firstLine="420"/>
      </w:pPr>
      <w:r>
        <w:rPr>
          <w:rFonts w:hint="eastAsia"/>
        </w:rPr>
        <w:t>通过城域网核心设备与省华数或其他运营商的互联互通，可为用户提供1千兆带宽。再通过本地的城域网将所有数据业务经各乡镇的环路光缆送至各乡镇广电站机房，各乡镇机房通过本地的光缆传送到用户侧，用户侧通过相应设备，为用户提供点播、宽带等服务。</w:t>
      </w:r>
    </w:p>
    <w:p>
      <w:pPr>
        <w:pStyle w:val="107"/>
        <w:spacing w:before="156" w:after="156"/>
      </w:pPr>
      <w:bookmarkStart w:id="116" w:name="_Toc86955853"/>
      <w:bookmarkStart w:id="117" w:name="_Toc87382949"/>
      <w:bookmarkStart w:id="118" w:name="_Toc88429824"/>
      <w:r>
        <w:rPr>
          <w:rFonts w:hint="eastAsia"/>
        </w:rPr>
        <w:t>广播系统</w:t>
      </w:r>
      <w:bookmarkEnd w:id="116"/>
      <w:bookmarkEnd w:id="117"/>
      <w:bookmarkEnd w:id="118"/>
    </w:p>
    <w:p>
      <w:pPr>
        <w:pStyle w:val="67"/>
        <w:spacing w:before="156" w:after="156"/>
      </w:pPr>
      <w:r>
        <w:rPr>
          <w:rFonts w:hint="eastAsia"/>
        </w:rPr>
        <w:t>调频广播</w:t>
      </w:r>
    </w:p>
    <w:p>
      <w:pPr>
        <w:pStyle w:val="58"/>
        <w:ind w:firstLine="420"/>
      </w:pPr>
      <w:r>
        <w:rPr>
          <w:rFonts w:hint="eastAsia"/>
        </w:rPr>
        <w:t>调频广播FM97.3太湖之声发射塔建立在虹星桥镇，发射塔高151.3米，通过本地的城域环网将广播信号传送至虹星桥发射机房，经天馈线系统传输至双偶极子天线，通过无线频率覆盖全县范围，另外在地域较远的煤山设立小型补点站，实现全县无死角广播频率覆盖，用户侧通过调频收音机即可实现收听调频广播。</w:t>
      </w:r>
    </w:p>
    <w:p>
      <w:pPr>
        <w:pStyle w:val="67"/>
        <w:spacing w:before="156" w:after="156"/>
      </w:pPr>
      <w:r>
        <w:t xml:space="preserve"> </w:t>
      </w:r>
      <w:r>
        <w:rPr>
          <w:rFonts w:hint="eastAsia"/>
        </w:rPr>
        <w:t>应急广播</w:t>
      </w:r>
    </w:p>
    <w:p>
      <w:pPr>
        <w:pStyle w:val="58"/>
        <w:ind w:firstLine="420"/>
        <w:rPr>
          <w:rFonts w:hint="default" w:eastAsia="宋体"/>
          <w:color w:val="FF0000"/>
          <w:lang w:val="en-US" w:eastAsia="zh-CN"/>
        </w:rPr>
      </w:pPr>
      <w:r>
        <w:rPr>
          <w:rFonts w:hint="eastAsia"/>
        </w:rPr>
        <w:t>建立县、乡镇、村三级联动应急广播系统，通过本地的城域网将数据传送至各乡镇广电站机房，各乡镇机房通过本地的光缆传送到用户侧，用户侧通过相应设备调度使用应急广播，中心机房可以直接调度各级应急广播。应急广播</w:t>
      </w:r>
      <w:r>
        <w:rPr>
          <w:rFonts w:hint="eastAsia"/>
          <w:lang w:val="en-US" w:eastAsia="zh-CN"/>
        </w:rPr>
        <w:t>覆盖全部行政村，相关旅游景点及地质灾害点，以便及时广播相关信息。</w:t>
      </w:r>
      <w:bookmarkStart w:id="254" w:name="_GoBack"/>
      <w:bookmarkEnd w:id="254"/>
    </w:p>
    <w:p>
      <w:pPr>
        <w:pStyle w:val="107"/>
        <w:spacing w:before="156" w:after="156"/>
      </w:pPr>
      <w:bookmarkStart w:id="119" w:name="_Toc88429825"/>
      <w:bookmarkStart w:id="120" w:name="_Toc86955854"/>
      <w:bookmarkStart w:id="121" w:name="_Toc87382950"/>
      <w:bookmarkStart w:id="122" w:name="_Hlk88601514"/>
      <w:r>
        <w:rPr>
          <w:rFonts w:hint="eastAsia"/>
        </w:rPr>
        <w:t>无线wifi</w:t>
      </w:r>
      <w:bookmarkEnd w:id="119"/>
      <w:bookmarkEnd w:id="120"/>
      <w:bookmarkEnd w:id="121"/>
    </w:p>
    <w:bookmarkEnd w:id="122"/>
    <w:p>
      <w:pPr>
        <w:pStyle w:val="58"/>
        <w:ind w:firstLine="420"/>
      </w:pPr>
      <w:r>
        <w:rPr>
          <w:rFonts w:hint="eastAsia"/>
        </w:rPr>
        <w:t>应建立无线wifi系统，包括控制器，上网行为管理、负载均衡、认证功能等设备，通过本地的城域网将wifi业务数据经各乡镇的环路光缆传送至各乡镇广电站机房核心交换机，各乡镇机房通过本地相应设备通过各乡镇本地的光缆传送到用户侧，用户侧通过相应设备连接无线AP设备，实现全县/区覆盖无线wifi。</w:t>
      </w:r>
    </w:p>
    <w:p>
      <w:pPr>
        <w:pStyle w:val="107"/>
        <w:spacing w:before="156" w:after="156"/>
      </w:pPr>
      <w:bookmarkStart w:id="123" w:name="_Toc88429826"/>
      <w:r>
        <w:rPr>
          <w:rFonts w:hint="eastAsia"/>
        </w:rPr>
        <w:t>视频监控网络</w:t>
      </w:r>
      <w:bookmarkEnd w:id="123"/>
    </w:p>
    <w:p>
      <w:pPr>
        <w:pStyle w:val="58"/>
        <w:ind w:firstLine="420"/>
      </w:pPr>
      <w:r>
        <w:rPr>
          <w:rFonts w:hint="eastAsia"/>
        </w:rPr>
        <w:t>建立视频监控网络，建设重点公共区域、重点行业、重点领域的视频监控系统，指导、监督治安保卫重点单位，完善公共安全视频监控系统，建立县级视频监控共享交换平台。</w:t>
      </w:r>
    </w:p>
    <w:p>
      <w:pPr>
        <w:pStyle w:val="107"/>
        <w:spacing w:before="156" w:after="156"/>
      </w:pPr>
      <w:bookmarkStart w:id="124" w:name="_Toc88429827"/>
      <w:bookmarkStart w:id="125" w:name="_Hlk88601557"/>
      <w:r>
        <w:rPr>
          <w:rFonts w:hint="eastAsia"/>
        </w:rPr>
        <w:t>融媒体技术平台</w:t>
      </w:r>
      <w:bookmarkEnd w:id="124"/>
    </w:p>
    <w:bookmarkEnd w:id="125"/>
    <w:p>
      <w:pPr>
        <w:pStyle w:val="58"/>
        <w:ind w:firstLine="420"/>
      </w:pPr>
      <w:r>
        <w:rPr>
          <w:rFonts w:hint="eastAsia"/>
        </w:rPr>
        <w:t>采用开放的云架构，具有松耦合、资源池化、高可扩展等特性，具备满足业务发展快速迭代升级的能力，可采用微服务架构方式实现。平台的存储、计算、网络能力应适配省域内县级融媒体中心的接入需求，具备多渠道信息汇聚能力、音视频处理能力、大数据分析能力、多渠道发布能力和新媒体开发运营能力。</w:t>
      </w:r>
    </w:p>
    <w:p>
      <w:pPr>
        <w:pStyle w:val="106"/>
        <w:spacing w:before="312" w:after="312"/>
      </w:pPr>
      <w:bookmarkStart w:id="126" w:name="_Toc86955855"/>
      <w:bookmarkStart w:id="127" w:name="_Toc87382951"/>
      <w:bookmarkStart w:id="128" w:name="_Toc88429828"/>
      <w:r>
        <w:rPr>
          <w:rFonts w:hint="eastAsia"/>
        </w:rPr>
        <w:t>智慧广电服务场景框架</w:t>
      </w:r>
      <w:bookmarkEnd w:id="104"/>
      <w:bookmarkEnd w:id="105"/>
      <w:bookmarkEnd w:id="106"/>
      <w:bookmarkEnd w:id="107"/>
      <w:bookmarkEnd w:id="126"/>
      <w:bookmarkEnd w:id="127"/>
      <w:bookmarkEnd w:id="128"/>
    </w:p>
    <w:p>
      <w:pPr>
        <w:pStyle w:val="58"/>
        <w:ind w:firstLine="420"/>
      </w:pPr>
      <w:r>
        <w:rPr>
          <w:rFonts w:hint="eastAsia"/>
        </w:rPr>
        <w:t>智慧广电应用场景的服务框架由面向乡村公众的4大服务场景构成,见图2。</w:t>
      </w:r>
    </w:p>
    <w:p>
      <w:pPr>
        <w:pStyle w:val="58"/>
        <w:ind w:firstLine="0" w:firstLineChars="0"/>
      </w:pPr>
      <w:r>
        <w:drawing>
          <wp:inline distT="0" distB="0" distL="0" distR="0">
            <wp:extent cx="5939790" cy="2453005"/>
            <wp:effectExtent l="0" t="0" r="381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939790" cy="2453005"/>
                    </a:xfrm>
                    <a:prstGeom prst="rect">
                      <a:avLst/>
                    </a:prstGeom>
                  </pic:spPr>
                </pic:pic>
              </a:graphicData>
            </a:graphic>
          </wp:inline>
        </w:drawing>
      </w:r>
    </w:p>
    <w:p>
      <w:pPr>
        <w:pStyle w:val="116"/>
        <w:spacing w:before="156" w:after="156"/>
      </w:pPr>
      <w:r>
        <w:rPr>
          <w:rFonts w:hint="eastAsia"/>
        </w:rPr>
        <w:t>未来乡村智慧广电场景公共服务框架</w:t>
      </w:r>
    </w:p>
    <w:p>
      <w:pPr>
        <w:pStyle w:val="106"/>
        <w:spacing w:before="312" w:after="312"/>
      </w:pPr>
      <w:bookmarkStart w:id="129" w:name="_Toc83763195"/>
      <w:bookmarkStart w:id="130" w:name="_Toc85221350"/>
      <w:bookmarkStart w:id="131" w:name="_Toc88429829"/>
      <w:bookmarkStart w:id="132" w:name="_Toc86955856"/>
      <w:bookmarkStart w:id="133" w:name="_Toc87382952"/>
      <w:r>
        <w:rPr>
          <w:rFonts w:hint="eastAsia"/>
        </w:rPr>
        <w:t>数字生产场景服务</w:t>
      </w:r>
      <w:bookmarkEnd w:id="129"/>
      <w:bookmarkEnd w:id="130"/>
      <w:bookmarkEnd w:id="131"/>
      <w:bookmarkEnd w:id="132"/>
      <w:bookmarkEnd w:id="133"/>
    </w:p>
    <w:p>
      <w:pPr>
        <w:pStyle w:val="107"/>
        <w:spacing w:before="156" w:after="156"/>
      </w:pPr>
      <w:bookmarkStart w:id="134" w:name="_Toc87382954"/>
      <w:bookmarkStart w:id="135" w:name="_Toc88429830"/>
      <w:bookmarkStart w:id="136" w:name="_Toc86955858"/>
      <w:bookmarkStart w:id="137" w:name="_Toc83763198"/>
      <w:bookmarkStart w:id="138" w:name="_Toc85221353"/>
      <w:bookmarkStart w:id="139" w:name="_Toc86955857"/>
      <w:bookmarkStart w:id="140" w:name="_Toc83763197"/>
      <w:bookmarkStart w:id="141" w:name="_Toc85221352"/>
      <w:bookmarkStart w:id="142" w:name="_Toc87382953"/>
      <w:r>
        <w:rPr>
          <w:rFonts w:hint="eastAsia"/>
        </w:rPr>
        <w:t>媒体助农</w:t>
      </w:r>
      <w:bookmarkEnd w:id="134"/>
      <w:bookmarkEnd w:id="135"/>
      <w:bookmarkEnd w:id="136"/>
      <w:bookmarkEnd w:id="137"/>
      <w:bookmarkEnd w:id="138"/>
    </w:p>
    <w:p>
      <w:pPr>
        <w:pStyle w:val="167"/>
      </w:pPr>
      <w:r>
        <w:rPr>
          <w:rFonts w:hint="eastAsia"/>
        </w:rPr>
        <w:t>利用广播、电视等媒体平台开设的对农栏目，每周各平台不少于3期，同时客户端、新媒体平台同步推送，宣传先进农业技术、报道先进农业信息，联合农事主管部门，基层乡村开展农事指导。</w:t>
      </w:r>
    </w:p>
    <w:p>
      <w:pPr>
        <w:pStyle w:val="167"/>
      </w:pPr>
      <w:r>
        <w:rPr>
          <w:rFonts w:hint="eastAsia"/>
        </w:rPr>
        <w:t>利用融媒体指挥平台，采集采购商及农户的信息，提供信息共享和匹配服务。</w:t>
      </w:r>
    </w:p>
    <w:p>
      <w:pPr>
        <w:pStyle w:val="167"/>
      </w:pPr>
      <w:r>
        <w:rPr>
          <w:rFonts w:hint="eastAsia"/>
        </w:rPr>
        <w:t>策划开展各类农事节庆活动，通过广播、电视、客户端、新媒体平台进行对内对外宣传。</w:t>
      </w:r>
    </w:p>
    <w:p>
      <w:pPr>
        <w:pStyle w:val="167"/>
      </w:pPr>
      <w:r>
        <w:rPr>
          <w:rFonts w:hint="eastAsia"/>
        </w:rPr>
        <w:t>利用广播、电视、客户端、新媒体平台、本地屏，宣传报道现场乡村智慧种殖养植技术，科普宣传相关物联网技术、智慧管理系统、专业技术团队等，推广典型案例。</w:t>
      </w:r>
    </w:p>
    <w:p>
      <w:pPr>
        <w:pStyle w:val="107"/>
        <w:spacing w:before="156" w:after="156"/>
      </w:pPr>
      <w:bookmarkStart w:id="143" w:name="_Toc88429831"/>
      <w:r>
        <w:rPr>
          <w:rFonts w:hint="eastAsia"/>
        </w:rPr>
        <w:t>公共事件</w:t>
      </w:r>
      <w:bookmarkEnd w:id="139"/>
      <w:bookmarkEnd w:id="140"/>
      <w:bookmarkEnd w:id="141"/>
      <w:bookmarkEnd w:id="142"/>
      <w:bookmarkEnd w:id="143"/>
    </w:p>
    <w:p>
      <w:pPr>
        <w:pStyle w:val="167"/>
      </w:pPr>
      <w:r>
        <w:rPr>
          <w:rFonts w:hint="eastAsia"/>
        </w:rPr>
        <w:t>在客户端、新媒体传播平台、广播、电视、应急广播等平台，实时推送各类公共突发事件。</w:t>
      </w:r>
    </w:p>
    <w:p>
      <w:pPr>
        <w:pStyle w:val="167"/>
      </w:pPr>
      <w:r>
        <w:rPr>
          <w:rFonts w:hint="eastAsia"/>
        </w:rPr>
        <w:t>在客户端、新媒体传播平台、广播、电视、应急广播，以及本地屏产品上设置公共突发事件科普知识等版块，在日常情况下保持定期更新，在突发情况下实时更新，指导乡村居民科学应对各类突发情况。</w:t>
      </w:r>
    </w:p>
    <w:p>
      <w:pPr>
        <w:pStyle w:val="167"/>
      </w:pPr>
      <w:r>
        <w:rPr>
          <w:rFonts w:hint="eastAsia"/>
        </w:rPr>
        <w:t>在客户端、新媒体传播平台、广播、电视等平台上，开设“本地天气”应用版块，提供短期天气预报、智能网格预报、未来一周天气趋势以及一系列气象生活指数，联动气象部门，实时更新当前最新天气预警。</w:t>
      </w:r>
    </w:p>
    <w:p>
      <w:pPr>
        <w:pStyle w:val="167"/>
      </w:pPr>
      <w:r>
        <w:rPr>
          <w:rFonts w:hint="eastAsia"/>
        </w:rPr>
        <w:t>通过应急广播，在村、街道的宣传，突发公共事件，传播气象预警，如台风、大暴雨等天气灾害，实时推送相关信息和防范措施。</w:t>
      </w:r>
    </w:p>
    <w:p>
      <w:pPr>
        <w:pStyle w:val="106"/>
        <w:spacing w:before="312" w:after="312"/>
      </w:pPr>
      <w:bookmarkStart w:id="144" w:name="_Toc88429832"/>
      <w:bookmarkStart w:id="145" w:name="_Toc83763200"/>
      <w:bookmarkStart w:id="146" w:name="_Toc87382955"/>
      <w:bookmarkStart w:id="147" w:name="_Toc85221355"/>
      <w:bookmarkStart w:id="148" w:name="_Toc86955859"/>
      <w:r>
        <w:rPr>
          <w:rFonts w:hint="eastAsia"/>
        </w:rPr>
        <w:t>数字生活场景服务</w:t>
      </w:r>
      <w:bookmarkEnd w:id="144"/>
      <w:bookmarkEnd w:id="145"/>
      <w:bookmarkEnd w:id="146"/>
      <w:bookmarkEnd w:id="147"/>
      <w:bookmarkEnd w:id="148"/>
    </w:p>
    <w:p>
      <w:pPr>
        <w:pStyle w:val="107"/>
        <w:spacing w:before="156" w:after="156"/>
      </w:pPr>
      <w:bookmarkStart w:id="149" w:name="_Toc85221356"/>
      <w:bookmarkStart w:id="150" w:name="_Toc83763201"/>
      <w:bookmarkStart w:id="151" w:name="_Toc87382956"/>
      <w:bookmarkStart w:id="152" w:name="_Toc86955860"/>
      <w:bookmarkStart w:id="153" w:name="_Toc88429833"/>
      <w:r>
        <w:rPr>
          <w:rFonts w:hint="eastAsia"/>
        </w:rPr>
        <w:t>邻里</w:t>
      </w:r>
      <w:bookmarkEnd w:id="149"/>
      <w:bookmarkEnd w:id="150"/>
      <w:r>
        <w:rPr>
          <w:rFonts w:hint="eastAsia"/>
        </w:rPr>
        <w:t>服务</w:t>
      </w:r>
      <w:bookmarkEnd w:id="151"/>
      <w:bookmarkEnd w:id="152"/>
      <w:bookmarkEnd w:id="153"/>
    </w:p>
    <w:p>
      <w:pPr>
        <w:pStyle w:val="67"/>
        <w:spacing w:before="156" w:after="156"/>
      </w:pPr>
      <w:r>
        <w:rPr>
          <w:rFonts w:hint="eastAsia"/>
        </w:rPr>
        <w:t>便民服务</w:t>
      </w:r>
    </w:p>
    <w:p>
      <w:pPr>
        <w:pStyle w:val="58"/>
        <w:ind w:firstLine="420"/>
      </w:pPr>
      <w:r>
        <w:rPr>
          <w:rFonts w:hint="eastAsia"/>
        </w:rPr>
        <w:t>在客户端开通便民服务，提供一键求助、订家宴、问律师、找工作、领补贴、看医生、要帮助、打复印等功能，实现多码融合。</w:t>
      </w:r>
    </w:p>
    <w:p>
      <w:pPr>
        <w:pStyle w:val="67"/>
        <w:spacing w:before="156" w:after="156"/>
      </w:pPr>
      <w:r>
        <w:rPr>
          <w:rFonts w:hint="eastAsia"/>
        </w:rPr>
        <w:t>乡村地图</w:t>
      </w:r>
    </w:p>
    <w:p>
      <w:pPr>
        <w:pStyle w:val="58"/>
        <w:ind w:firstLine="420"/>
      </w:pPr>
      <w:r>
        <w:rPr>
          <w:rFonts w:hint="eastAsia"/>
        </w:rPr>
        <w:t>在客户端为每个乡村单独建立一个交流展示平台，实时更新本地区域、乡村街道等具有关联度的新闻资讯，配置乡村地图，向乡村居民提供周边综合体、超市、文体活动中心、美食、娱乐等场所。</w:t>
      </w:r>
    </w:p>
    <w:p>
      <w:pPr>
        <w:pStyle w:val="67"/>
        <w:spacing w:before="156" w:after="156"/>
      </w:pPr>
      <w:r>
        <w:rPr>
          <w:rFonts w:hint="eastAsia"/>
        </w:rPr>
        <w:t>慈善捐助</w:t>
      </w:r>
    </w:p>
    <w:p>
      <w:pPr>
        <w:pStyle w:val="58"/>
        <w:ind w:firstLine="420"/>
      </w:pPr>
      <w:r>
        <w:rPr>
          <w:rFonts w:hint="eastAsia"/>
        </w:rPr>
        <w:t>在客户端建立慈善公益网络信息平台，由慈善总会权威认证，并对平台运行进行监管。为捐助者和受捐者提供平台支持，并提供慈善公益第三方见证、信用认证、活动组织、筹款公示等相关服务。</w:t>
      </w:r>
    </w:p>
    <w:p>
      <w:pPr>
        <w:pStyle w:val="67"/>
        <w:spacing w:before="156" w:after="156"/>
      </w:pPr>
      <w:r>
        <w:rPr>
          <w:rFonts w:hint="eastAsia"/>
        </w:rPr>
        <w:t>应用积分</w:t>
      </w:r>
    </w:p>
    <w:p>
      <w:pPr>
        <w:pStyle w:val="58"/>
        <w:ind w:firstLine="420"/>
      </w:pPr>
      <w:r>
        <w:rPr>
          <w:rFonts w:hint="eastAsia"/>
        </w:rPr>
        <w:t>乡村居民可通过手机客户端各类应用积累积分，按积分政策抵用广电营业厅视听费、宽带费用等。</w:t>
      </w:r>
    </w:p>
    <w:p>
      <w:pPr>
        <w:pStyle w:val="107"/>
        <w:spacing w:before="156" w:after="156"/>
      </w:pPr>
      <w:bookmarkStart w:id="154" w:name="_Toc85221361"/>
      <w:bookmarkStart w:id="155" w:name="_Toc83763207"/>
      <w:bookmarkStart w:id="156" w:name="_Toc86955861"/>
      <w:bookmarkStart w:id="157" w:name="_Toc87382957"/>
      <w:bookmarkStart w:id="158" w:name="_Toc88429834"/>
      <w:r>
        <w:rPr>
          <w:rFonts w:hint="eastAsia"/>
        </w:rPr>
        <w:t>资讯</w:t>
      </w:r>
      <w:bookmarkEnd w:id="154"/>
      <w:bookmarkEnd w:id="155"/>
      <w:r>
        <w:rPr>
          <w:rFonts w:hint="eastAsia"/>
        </w:rPr>
        <w:t>服务</w:t>
      </w:r>
      <w:bookmarkEnd w:id="156"/>
      <w:bookmarkEnd w:id="157"/>
      <w:bookmarkEnd w:id="158"/>
    </w:p>
    <w:p>
      <w:pPr>
        <w:pStyle w:val="67"/>
        <w:spacing w:before="156" w:after="156"/>
      </w:pPr>
      <w:r>
        <w:rPr>
          <w:rFonts w:hint="eastAsia"/>
        </w:rPr>
        <w:t>资讯推送</w:t>
      </w:r>
    </w:p>
    <w:p>
      <w:pPr>
        <w:pStyle w:val="58"/>
        <w:ind w:firstLine="420"/>
      </w:pPr>
      <w:r>
        <w:rPr>
          <w:rFonts w:hint="eastAsia"/>
        </w:rPr>
        <w:t>通过广播、电视、客户端、新媒体平台推送新闻资讯内容，其中客户端强化个性化订制和智能推送服务。为乡村、街道、企业开设客户端专属号，可自行上传相关资讯，集纳推送。</w:t>
      </w:r>
    </w:p>
    <w:p>
      <w:pPr>
        <w:pStyle w:val="67"/>
        <w:spacing w:before="156" w:after="156"/>
      </w:pPr>
      <w:r>
        <w:rPr>
          <w:rFonts w:hint="eastAsia"/>
        </w:rPr>
        <w:t>政务服务</w:t>
      </w:r>
    </w:p>
    <w:p>
      <w:pPr>
        <w:pStyle w:val="58"/>
        <w:ind w:firstLine="420"/>
      </w:pPr>
      <w:r>
        <w:rPr>
          <w:rFonts w:hint="eastAsia"/>
        </w:rPr>
        <w:t>在客户端通过自建或链入政务应用，向用户提供线上政务服务，可联动省市级政务平台，大力推进“无感通办”、“一证通办”服务，打通政务办理“最后一公里”。</w:t>
      </w:r>
    </w:p>
    <w:p>
      <w:pPr>
        <w:pStyle w:val="67"/>
        <w:spacing w:before="156" w:after="156"/>
      </w:pPr>
      <w:r>
        <w:rPr>
          <w:rFonts w:hint="eastAsia"/>
        </w:rPr>
        <w:t>民生服务</w:t>
      </w:r>
    </w:p>
    <w:p>
      <w:pPr>
        <w:pStyle w:val="58"/>
        <w:ind w:firstLine="420"/>
      </w:pPr>
      <w:r>
        <w:rPr>
          <w:rFonts w:hint="eastAsia"/>
        </w:rPr>
        <w:t>在客户端通过自建或链入民生应用，向用户提供线上民生服务，着力打造具有本地特色、贴近本地用户的高频民生应用，打造“智慧生活”生态圈。</w:t>
      </w:r>
    </w:p>
    <w:p>
      <w:pPr>
        <w:pStyle w:val="67"/>
        <w:spacing w:before="156" w:after="156"/>
      </w:pPr>
      <w:r>
        <w:rPr>
          <w:rFonts w:hint="eastAsia"/>
        </w:rPr>
        <w:t>掌上政务</w:t>
      </w:r>
    </w:p>
    <w:p>
      <w:pPr>
        <w:pStyle w:val="166"/>
      </w:pPr>
      <w:r>
        <w:rPr>
          <w:rFonts w:hint="eastAsia"/>
        </w:rPr>
        <w:t>在客户端为本地乡村制作网络名片，公告公示工程、人事、目标任务等三重一大事项，开设政民通等掌上政务办事大厅。</w:t>
      </w:r>
    </w:p>
    <w:p>
      <w:pPr>
        <w:pStyle w:val="166"/>
        <w:rPr>
          <w:color w:val="FF0000"/>
        </w:rPr>
      </w:pPr>
      <w:r>
        <w:rPr>
          <w:rFonts w:hint="eastAsia"/>
        </w:rPr>
        <w:t>消息投递系统为各乡村用户在互动电视平台上提供具有定向性信息发布平台。</w:t>
      </w:r>
    </w:p>
    <w:p>
      <w:pPr>
        <w:pStyle w:val="67"/>
        <w:spacing w:before="156" w:after="156"/>
      </w:pPr>
      <w:r>
        <w:rPr>
          <w:rFonts w:hint="eastAsia"/>
        </w:rPr>
        <w:t>文化礼堂</w:t>
      </w:r>
    </w:p>
    <w:p>
      <w:pPr>
        <w:pStyle w:val="58"/>
        <w:ind w:firstLine="420"/>
      </w:pPr>
      <w:r>
        <w:rPr>
          <w:rFonts w:hint="eastAsia"/>
        </w:rPr>
        <w:t>集纳本地乡村文化礼堂信息，以图文视频等形式充分展示各乡村文化礼堂特色，及时公告文化礼堂各项活动，在线收看云宣讲视频，为村民提供礼堂预约服务。</w:t>
      </w:r>
    </w:p>
    <w:p>
      <w:pPr>
        <w:pStyle w:val="67"/>
        <w:spacing w:before="156" w:after="156"/>
      </w:pPr>
      <w:r>
        <w:rPr>
          <w:rFonts w:hint="eastAsia"/>
        </w:rPr>
        <w:t>专属号服务</w:t>
      </w:r>
    </w:p>
    <w:p>
      <w:pPr>
        <w:pStyle w:val="58"/>
        <w:ind w:firstLine="420"/>
      </w:pPr>
      <w:r>
        <w:rPr>
          <w:rFonts w:hint="eastAsia"/>
        </w:rPr>
        <w:t>利用媒体客户端集纳宣传的特点开设专属号，乡村及乡村内企事业单位均可开通，展示工作进展与成效。</w:t>
      </w:r>
    </w:p>
    <w:p>
      <w:pPr>
        <w:pStyle w:val="67"/>
        <w:spacing w:before="156" w:after="156"/>
      </w:pPr>
      <w:r>
        <w:rPr>
          <w:rFonts w:hint="eastAsia"/>
        </w:rPr>
        <w:t>入学资讯</w:t>
      </w:r>
    </w:p>
    <w:p>
      <w:pPr>
        <w:pStyle w:val="166"/>
      </w:pPr>
      <w:r>
        <w:rPr>
          <w:rFonts w:hint="eastAsia"/>
        </w:rPr>
        <w:t>提供义务教育阶段学校学生入学办理通知，公示义务教育阶段学生入学通告、办理地点和时间等具体信息，让乡村居民及时了解入学流程，并在线上直接进行申报。</w:t>
      </w:r>
    </w:p>
    <w:p>
      <w:pPr>
        <w:pStyle w:val="166"/>
      </w:pPr>
      <w:r>
        <w:rPr>
          <w:rFonts w:hint="eastAsia"/>
        </w:rPr>
        <w:t>根据本地教育局文件，绘制本地幼儿园、小学、初中、高中入学地图，解读政策规定，让乡村居民通过地图查询的方式，即可定位居住地所属教育区域，确定对应学校，高中学校还提供最新一年录取信息。</w:t>
      </w:r>
    </w:p>
    <w:p>
      <w:pPr>
        <w:pStyle w:val="67"/>
        <w:spacing w:before="156" w:after="156"/>
      </w:pPr>
      <w:r>
        <w:rPr>
          <w:rFonts w:hint="eastAsia"/>
        </w:rPr>
        <w:t>媒体教育</w:t>
      </w:r>
    </w:p>
    <w:p>
      <w:pPr>
        <w:pStyle w:val="58"/>
        <w:ind w:firstLine="420"/>
      </w:pPr>
      <w:r>
        <w:rPr>
          <w:rFonts w:hint="eastAsia"/>
        </w:rPr>
        <w:t>向乡村公开招募媒体小记者组建团队，开展各类现场学习、采风及录制等活动；充分利用媒体教育项目师资开展线上幼小衔接、心理辅导、艺考等课程。</w:t>
      </w:r>
    </w:p>
    <w:p>
      <w:pPr>
        <w:pStyle w:val="67"/>
        <w:spacing w:before="156" w:after="156"/>
      </w:pPr>
      <w:r>
        <w:rPr>
          <w:rFonts w:hint="eastAsia"/>
        </w:rPr>
        <w:t>线上教育</w:t>
      </w:r>
    </w:p>
    <w:p>
      <w:pPr>
        <w:pStyle w:val="58"/>
        <w:ind w:firstLine="420"/>
      </w:pPr>
      <w:r>
        <w:rPr>
          <w:rFonts w:hint="eastAsia"/>
        </w:rPr>
        <w:t>在非常态情况下，可响应教育部门统一部署，利用本地屏开设空中课堂，提供线上教育服务。</w:t>
      </w:r>
    </w:p>
    <w:p>
      <w:pPr>
        <w:pStyle w:val="107"/>
        <w:spacing w:before="156" w:after="156"/>
      </w:pPr>
      <w:bookmarkStart w:id="159" w:name="_Toc85221354"/>
      <w:bookmarkStart w:id="160" w:name="_Toc83763199"/>
      <w:bookmarkStart w:id="161" w:name="_Toc86955862"/>
      <w:bookmarkStart w:id="162" w:name="_Toc87382958"/>
      <w:bookmarkStart w:id="163" w:name="_Toc88429835"/>
      <w:r>
        <w:rPr>
          <w:rFonts w:hint="eastAsia"/>
        </w:rPr>
        <w:t>电商平台</w:t>
      </w:r>
      <w:bookmarkEnd w:id="159"/>
      <w:bookmarkEnd w:id="160"/>
      <w:bookmarkEnd w:id="161"/>
      <w:bookmarkEnd w:id="162"/>
      <w:bookmarkEnd w:id="163"/>
    </w:p>
    <w:p>
      <w:pPr>
        <w:pStyle w:val="167"/>
      </w:pPr>
      <w:r>
        <w:rPr>
          <w:rFonts w:hint="eastAsia"/>
        </w:rPr>
        <w:t>在客户端商城开设“本地特惠”版块，上线本地乡村旅游项目、农特产品等，可随时根据季节性产品需求发起特价销售、在线销售等优惠活动。</w:t>
      </w:r>
    </w:p>
    <w:p>
      <w:pPr>
        <w:pStyle w:val="167"/>
      </w:pPr>
      <w:r>
        <w:rPr>
          <w:rFonts w:hint="eastAsia"/>
        </w:rPr>
        <w:t>与本地农特产品电商平台合作，将新媒体直播、大型融合式直播等线上活动与农特产品线下评比、品鉴、销售等活动相结合，共同策划开展农产品帮扶助销活动。</w:t>
      </w:r>
    </w:p>
    <w:p>
      <w:pPr>
        <w:pStyle w:val="107"/>
        <w:spacing w:before="156" w:after="156"/>
      </w:pPr>
      <w:bookmarkStart w:id="164" w:name="_Toc83763205"/>
      <w:bookmarkStart w:id="165" w:name="_Toc85221359"/>
      <w:bookmarkStart w:id="166" w:name="_Toc88429836"/>
      <w:bookmarkStart w:id="167" w:name="_Toc86955863"/>
      <w:bookmarkStart w:id="168" w:name="_Toc87382959"/>
      <w:r>
        <w:rPr>
          <w:rFonts w:hint="eastAsia"/>
        </w:rPr>
        <w:t>智慧</w:t>
      </w:r>
      <w:bookmarkEnd w:id="164"/>
      <w:bookmarkEnd w:id="165"/>
      <w:r>
        <w:rPr>
          <w:rFonts w:hint="eastAsia"/>
        </w:rPr>
        <w:t>服务</w:t>
      </w:r>
      <w:bookmarkEnd w:id="166"/>
      <w:bookmarkEnd w:id="167"/>
      <w:bookmarkEnd w:id="168"/>
    </w:p>
    <w:p>
      <w:pPr>
        <w:pStyle w:val="67"/>
        <w:spacing w:before="156" w:after="156"/>
      </w:pPr>
      <w:r>
        <w:rPr>
          <w:rFonts w:hint="eastAsia"/>
        </w:rPr>
        <w:t>智慧大脑</w:t>
      </w:r>
    </w:p>
    <w:p>
      <w:pPr>
        <w:pStyle w:val="58"/>
        <w:ind w:firstLine="420"/>
      </w:pPr>
      <w:r>
        <w:rPr>
          <w:rFonts w:hint="eastAsia"/>
        </w:rPr>
        <w:t>建立云数据中心，形成民生云和政务云，为政府和企业提供专属的本地化云计算、云存储、云安全等产品服务，支持容量和处理能力弹性扩展，提供多种存储类型供需求方选择，全面优化存储成本。</w:t>
      </w:r>
    </w:p>
    <w:p>
      <w:pPr>
        <w:pStyle w:val="67"/>
        <w:spacing w:before="156" w:after="156"/>
      </w:pPr>
      <w:r>
        <w:rPr>
          <w:rFonts w:hint="eastAsia"/>
        </w:rPr>
        <w:t>智慧缴费</w:t>
      </w:r>
    </w:p>
    <w:p>
      <w:pPr>
        <w:pStyle w:val="58"/>
        <w:ind w:firstLine="420"/>
      </w:pPr>
      <w:r>
        <w:rPr>
          <w:rFonts w:hint="eastAsia"/>
        </w:rPr>
        <w:t>在客户端开通线上生活缴费功能，一键链转在线支付平台，进行水电、通讯、物业、燃气、电视费等相关费用的缴纳,为乡村居民提供统一快捷的缴费通道。</w:t>
      </w:r>
    </w:p>
    <w:p>
      <w:pPr>
        <w:pStyle w:val="67"/>
        <w:spacing w:before="156" w:after="156"/>
      </w:pPr>
      <w:r>
        <w:rPr>
          <w:rFonts w:hint="eastAsia"/>
        </w:rPr>
        <w:t>智慧购物</w:t>
      </w:r>
    </w:p>
    <w:p>
      <w:pPr>
        <w:pStyle w:val="166"/>
      </w:pPr>
      <w:r>
        <w:rPr>
          <w:rFonts w:hint="eastAsia"/>
        </w:rPr>
        <w:t>在客户端开设线上商城版块，为居民提供购物服务。</w:t>
      </w:r>
    </w:p>
    <w:p>
      <w:pPr>
        <w:pStyle w:val="166"/>
      </w:pPr>
      <w:r>
        <w:rPr>
          <w:rFonts w:hint="eastAsia"/>
        </w:rPr>
        <w:t>为本地居民挑选优质、低价的商品，根据居民需求，提供邮寄到家和线下自提服务。</w:t>
      </w:r>
    </w:p>
    <w:p>
      <w:pPr>
        <w:pStyle w:val="166"/>
      </w:pPr>
      <w:r>
        <w:rPr>
          <w:rFonts w:hint="eastAsia"/>
        </w:rPr>
        <w:t>为本地优质农特产品提供线上销售支持。</w:t>
      </w:r>
    </w:p>
    <w:p>
      <w:pPr>
        <w:pStyle w:val="166"/>
      </w:pPr>
      <w:r>
        <w:rPr>
          <w:rFonts w:hint="eastAsia"/>
        </w:rPr>
        <w:t>客服在线提供商品咨询和售后服务。</w:t>
      </w:r>
    </w:p>
    <w:p>
      <w:pPr>
        <w:pStyle w:val="67"/>
        <w:spacing w:before="156" w:after="156"/>
      </w:pPr>
      <w:r>
        <w:rPr>
          <w:rFonts w:hint="eastAsia"/>
        </w:rPr>
        <w:t>智慧交通</w:t>
      </w:r>
    </w:p>
    <w:p>
      <w:pPr>
        <w:pStyle w:val="58"/>
        <w:ind w:firstLine="420"/>
      </w:pPr>
      <w:r>
        <w:rPr>
          <w:rFonts w:hint="eastAsia"/>
        </w:rPr>
        <w:t>通过在重点景区建设各类前端设备，汇聚形成区域智慧交通数据中心，构建综合应用的智慧交通平台。</w:t>
      </w:r>
    </w:p>
    <w:p>
      <w:pPr>
        <w:pStyle w:val="67"/>
        <w:spacing w:before="156" w:after="156"/>
      </w:pPr>
      <w:r>
        <w:rPr>
          <w:rFonts w:hint="eastAsia"/>
        </w:rPr>
        <w:t>智慧停车</w:t>
      </w:r>
    </w:p>
    <w:p>
      <w:pPr>
        <w:pStyle w:val="58"/>
        <w:ind w:firstLine="420"/>
      </w:pPr>
      <w:r>
        <w:rPr>
          <w:rFonts w:hint="eastAsia"/>
        </w:rPr>
        <w:t>实时监测乡村重点景区车流量数据，提供单位管理、收费规则、黑白名单管理和云坐席管理等功能，通过系统管理，设置相应收费规则。</w:t>
      </w:r>
    </w:p>
    <w:p>
      <w:pPr>
        <w:pStyle w:val="67"/>
        <w:spacing w:before="156" w:after="156"/>
      </w:pPr>
      <w:r>
        <w:rPr>
          <w:rFonts w:hint="eastAsia"/>
        </w:rPr>
        <w:t>景区导航</w:t>
      </w:r>
    </w:p>
    <w:p>
      <w:pPr>
        <w:pStyle w:val="58"/>
        <w:ind w:firstLine="420"/>
      </w:pPr>
      <w:r>
        <w:rPr>
          <w:rFonts w:hint="eastAsia"/>
        </w:rPr>
        <w:t>在客户端展示美丽乡村场景，根据乡村重点景区量身订制景区导航系统，乡村居民可通过该系统了解景区各景点分布、简介及位置信息，并可一键启动导航。</w:t>
      </w:r>
    </w:p>
    <w:p>
      <w:pPr>
        <w:pStyle w:val="106"/>
        <w:spacing w:before="312" w:after="312"/>
      </w:pPr>
      <w:bookmarkStart w:id="169" w:name="_Toc85221360"/>
      <w:bookmarkStart w:id="170" w:name="_Toc83763206"/>
      <w:bookmarkStart w:id="171" w:name="_Toc88429837"/>
      <w:bookmarkStart w:id="172" w:name="_Toc86955864"/>
      <w:bookmarkStart w:id="173" w:name="_Toc87382960"/>
      <w:r>
        <w:rPr>
          <w:rFonts w:hint="eastAsia"/>
        </w:rPr>
        <w:t>数字生态场景服务</w:t>
      </w:r>
      <w:bookmarkEnd w:id="169"/>
      <w:bookmarkEnd w:id="170"/>
      <w:bookmarkEnd w:id="171"/>
      <w:bookmarkEnd w:id="172"/>
      <w:bookmarkEnd w:id="173"/>
    </w:p>
    <w:p>
      <w:pPr>
        <w:pStyle w:val="107"/>
        <w:spacing w:before="156" w:after="156"/>
      </w:pPr>
      <w:bookmarkStart w:id="174" w:name="_Toc87382961"/>
      <w:bookmarkStart w:id="175" w:name="_Toc86955865"/>
      <w:bookmarkStart w:id="176" w:name="_Toc88429838"/>
      <w:r>
        <w:rPr>
          <w:rFonts w:hint="eastAsia"/>
        </w:rPr>
        <w:t>垃圾分类</w:t>
      </w:r>
      <w:bookmarkEnd w:id="174"/>
      <w:bookmarkEnd w:id="175"/>
      <w:bookmarkEnd w:id="176"/>
    </w:p>
    <w:p>
      <w:pPr>
        <w:pStyle w:val="167"/>
      </w:pPr>
      <w:r>
        <w:rPr>
          <w:rFonts w:hint="eastAsia"/>
        </w:rPr>
        <w:t>利用视频监控网络，在垃圾分类点上安装监控点，规范村（居）民及企业的垃圾分类行为。</w:t>
      </w:r>
    </w:p>
    <w:p>
      <w:pPr>
        <w:pStyle w:val="167"/>
      </w:pPr>
      <w:r>
        <w:rPr>
          <w:rFonts w:hint="eastAsia"/>
        </w:rPr>
        <w:t>在客户端中集成垃圾分类应用，实现一户一码，垃圾分类详情线下监督，线上汇总。</w:t>
      </w:r>
    </w:p>
    <w:p>
      <w:pPr>
        <w:pStyle w:val="167"/>
      </w:pPr>
      <w:r>
        <w:rPr>
          <w:rFonts w:hint="eastAsia"/>
        </w:rPr>
        <w:t>在电视、移动端、网页等媒体平台，常态化发布垃圾分类公益广告。</w:t>
      </w:r>
    </w:p>
    <w:p>
      <w:pPr>
        <w:pStyle w:val="107"/>
        <w:spacing w:before="156" w:after="156"/>
      </w:pPr>
      <w:bookmarkStart w:id="177" w:name="_Toc87382963"/>
      <w:bookmarkStart w:id="178" w:name="_Toc86955867"/>
      <w:bookmarkStart w:id="179" w:name="_Toc88429839"/>
      <w:r>
        <w:rPr>
          <w:rFonts w:hint="eastAsia"/>
        </w:rPr>
        <w:t>生态循环</w:t>
      </w:r>
      <w:bookmarkEnd w:id="177"/>
      <w:bookmarkEnd w:id="178"/>
      <w:bookmarkEnd w:id="179"/>
    </w:p>
    <w:p>
      <w:pPr>
        <w:pStyle w:val="58"/>
        <w:ind w:firstLine="420"/>
      </w:pPr>
      <w:r>
        <w:rPr>
          <w:rFonts w:hint="eastAsia"/>
        </w:rPr>
        <w:t>通过各类前端设备接入，建成乡镇生态数据平台，提供各乡镇农业生产管理、环境监测、数据展示、统计分析等功能。</w:t>
      </w:r>
    </w:p>
    <w:p>
      <w:pPr>
        <w:pStyle w:val="107"/>
        <w:spacing w:before="156" w:after="156"/>
      </w:pPr>
      <w:bookmarkStart w:id="180" w:name="_Toc88429840"/>
      <w:bookmarkStart w:id="181" w:name="_Toc87382964"/>
      <w:bookmarkStart w:id="182" w:name="_Toc86955868"/>
      <w:r>
        <w:rPr>
          <w:rFonts w:hint="eastAsia"/>
        </w:rPr>
        <w:t>河道管理</w:t>
      </w:r>
      <w:bookmarkEnd w:id="180"/>
      <w:bookmarkEnd w:id="181"/>
      <w:bookmarkEnd w:id="182"/>
    </w:p>
    <w:p>
      <w:pPr>
        <w:pStyle w:val="58"/>
        <w:ind w:firstLine="420"/>
      </w:pPr>
      <w:r>
        <w:rPr>
          <w:rFonts w:hint="eastAsia"/>
        </w:rPr>
        <w:t>开发具有河道管理、巡查管理、事件管理和绩效考核等功能的河长制智慧平台。</w:t>
      </w:r>
    </w:p>
    <w:p>
      <w:pPr>
        <w:pStyle w:val="107"/>
        <w:spacing w:before="156" w:after="156"/>
      </w:pPr>
      <w:bookmarkStart w:id="183" w:name="_Toc87382965"/>
      <w:bookmarkStart w:id="184" w:name="_Toc88429841"/>
      <w:bookmarkStart w:id="185" w:name="_Toc86955869"/>
      <w:r>
        <w:rPr>
          <w:rFonts w:hint="eastAsia"/>
        </w:rPr>
        <w:t>水文信息管理</w:t>
      </w:r>
      <w:bookmarkEnd w:id="183"/>
      <w:bookmarkEnd w:id="184"/>
      <w:bookmarkEnd w:id="185"/>
    </w:p>
    <w:p>
      <w:pPr>
        <w:pStyle w:val="58"/>
        <w:ind w:firstLine="420"/>
      </w:pPr>
      <w:r>
        <w:rPr>
          <w:rFonts w:hint="eastAsia"/>
        </w:rPr>
        <w:t>在乡村重点河道山涧中安装多种前端传感器，包括水尺、水位计、监控等，实时监测收集水文信息。</w:t>
      </w:r>
    </w:p>
    <w:p>
      <w:pPr>
        <w:pStyle w:val="107"/>
        <w:spacing w:before="156" w:after="156"/>
      </w:pPr>
      <w:bookmarkStart w:id="186" w:name="_Toc86955870"/>
      <w:bookmarkStart w:id="187" w:name="_Toc88429842"/>
      <w:bookmarkStart w:id="188" w:name="_Toc87382966"/>
      <w:r>
        <w:rPr>
          <w:rFonts w:hint="eastAsia"/>
        </w:rPr>
        <w:t>古树养护</w:t>
      </w:r>
      <w:bookmarkEnd w:id="186"/>
      <w:bookmarkEnd w:id="187"/>
      <w:bookmarkEnd w:id="188"/>
    </w:p>
    <w:p>
      <w:pPr>
        <w:pStyle w:val="58"/>
        <w:ind w:firstLine="420"/>
      </w:pPr>
      <w:r>
        <w:rPr>
          <w:rFonts w:hint="eastAsia"/>
        </w:rPr>
        <w:t>利用传感设备，实时监测古树生态信息。</w:t>
      </w:r>
    </w:p>
    <w:p>
      <w:pPr>
        <w:pStyle w:val="106"/>
        <w:spacing w:before="312" w:after="312"/>
      </w:pPr>
      <w:bookmarkStart w:id="189" w:name="_Toc87382967"/>
      <w:bookmarkStart w:id="190" w:name="_Toc83763210"/>
      <w:bookmarkStart w:id="191" w:name="_Toc85221364"/>
      <w:bookmarkStart w:id="192" w:name="_Toc86955871"/>
      <w:bookmarkStart w:id="193" w:name="_Toc88429843"/>
      <w:r>
        <w:rPr>
          <w:rFonts w:hint="eastAsia"/>
        </w:rPr>
        <w:t>数字治理场景服务</w:t>
      </w:r>
      <w:bookmarkEnd w:id="189"/>
      <w:bookmarkEnd w:id="190"/>
      <w:bookmarkEnd w:id="191"/>
      <w:bookmarkEnd w:id="192"/>
      <w:bookmarkEnd w:id="193"/>
    </w:p>
    <w:p>
      <w:pPr>
        <w:pStyle w:val="107"/>
        <w:spacing w:before="156" w:after="156"/>
      </w:pPr>
      <w:bookmarkStart w:id="194" w:name="_Toc86955872"/>
      <w:bookmarkStart w:id="195" w:name="_Toc85221365"/>
      <w:bookmarkStart w:id="196" w:name="_Toc83763211"/>
      <w:bookmarkStart w:id="197" w:name="_Toc87382968"/>
      <w:bookmarkStart w:id="198" w:name="_Toc88429844"/>
      <w:r>
        <w:t>“</w:t>
      </w:r>
      <w:r>
        <w:rPr>
          <w:rFonts w:hint="eastAsia"/>
        </w:rPr>
        <w:t>三务</w:t>
      </w:r>
      <w:r>
        <w:t>”</w:t>
      </w:r>
      <w:r>
        <w:rPr>
          <w:rFonts w:hint="eastAsia"/>
        </w:rPr>
        <w:t>公开</w:t>
      </w:r>
      <w:bookmarkEnd w:id="194"/>
      <w:bookmarkEnd w:id="195"/>
      <w:bookmarkEnd w:id="196"/>
      <w:bookmarkEnd w:id="197"/>
      <w:bookmarkEnd w:id="198"/>
    </w:p>
    <w:p>
      <w:pPr>
        <w:pStyle w:val="58"/>
        <w:ind w:firstLine="420"/>
      </w:pPr>
      <w:r>
        <w:rPr>
          <w:rFonts w:hint="eastAsia"/>
        </w:rPr>
        <w:t>通过线上平台及电视本地屏，对乡村</w:t>
      </w:r>
      <w:r>
        <w:t>”</w:t>
      </w:r>
      <w:r>
        <w:rPr>
          <w:rFonts w:hint="eastAsia"/>
        </w:rPr>
        <w:t>三务</w:t>
      </w:r>
      <w:r>
        <w:t>”</w:t>
      </w:r>
      <w:r>
        <w:rPr>
          <w:rFonts w:hint="eastAsia"/>
        </w:rPr>
        <w:t>实时公开。</w:t>
      </w:r>
    </w:p>
    <w:p>
      <w:pPr>
        <w:pStyle w:val="107"/>
        <w:spacing w:before="156" w:after="156"/>
      </w:pPr>
      <w:bookmarkStart w:id="199" w:name="_Toc83763212"/>
      <w:bookmarkStart w:id="200" w:name="_Toc87382969"/>
      <w:bookmarkStart w:id="201" w:name="_Toc85221366"/>
      <w:bookmarkStart w:id="202" w:name="_Toc86955873"/>
      <w:bookmarkStart w:id="203" w:name="_Toc88429845"/>
      <w:r>
        <w:rPr>
          <w:rFonts w:hint="eastAsia"/>
        </w:rPr>
        <w:t>基层治理</w:t>
      </w:r>
      <w:bookmarkEnd w:id="199"/>
      <w:bookmarkEnd w:id="200"/>
      <w:bookmarkEnd w:id="201"/>
      <w:bookmarkEnd w:id="202"/>
      <w:bookmarkEnd w:id="203"/>
    </w:p>
    <w:p>
      <w:pPr>
        <w:pStyle w:val="167"/>
      </w:pPr>
      <w:r>
        <w:rPr>
          <w:rFonts w:hint="eastAsia"/>
        </w:rPr>
        <w:t>在客户端、新媒体平台开设群众参与协商的掌上议事厅，开展民情恳谈、“面对面”等活动。</w:t>
      </w:r>
    </w:p>
    <w:p>
      <w:pPr>
        <w:pStyle w:val="167"/>
      </w:pPr>
      <w:r>
        <w:rPr>
          <w:rFonts w:hint="eastAsia"/>
        </w:rPr>
        <w:t>在客户端开通乡村求助爆料版块，提供新闻爆料及求助对接等服务，建立和健全相应机制，通过媒体平台报道典型事件及后续结果。</w:t>
      </w:r>
    </w:p>
    <w:p>
      <w:pPr>
        <w:pStyle w:val="167"/>
      </w:pPr>
      <w:r>
        <w:rPr>
          <w:rFonts w:hint="eastAsia"/>
        </w:rPr>
        <w:t>建立集综合信息指挥平台、公共视频共享平台、应急指挥平台与一体的社会治理综合信息指挥中心。</w:t>
      </w:r>
    </w:p>
    <w:p>
      <w:pPr>
        <w:pStyle w:val="167"/>
      </w:pPr>
      <w:r>
        <w:rPr>
          <w:rFonts w:hint="eastAsia"/>
        </w:rPr>
        <w:t>开发清廉乡村系统，收集、监督各行政村小微运行情况。</w:t>
      </w:r>
    </w:p>
    <w:p>
      <w:pPr>
        <w:pStyle w:val="107"/>
        <w:spacing w:before="156" w:after="156"/>
      </w:pPr>
      <w:bookmarkStart w:id="204" w:name="_Toc88429846"/>
      <w:bookmarkStart w:id="205" w:name="_Toc87382970"/>
      <w:bookmarkStart w:id="206" w:name="_Toc86955874"/>
      <w:bookmarkStart w:id="207" w:name="_Toc83763214"/>
      <w:bookmarkStart w:id="208" w:name="_Toc85221368"/>
      <w:r>
        <w:rPr>
          <w:rFonts w:hint="eastAsia"/>
        </w:rPr>
        <w:t>文明诚信</w:t>
      </w:r>
      <w:bookmarkEnd w:id="204"/>
      <w:bookmarkEnd w:id="205"/>
      <w:bookmarkEnd w:id="206"/>
      <w:bookmarkEnd w:id="207"/>
      <w:bookmarkEnd w:id="208"/>
    </w:p>
    <w:p>
      <w:pPr>
        <w:pStyle w:val="167"/>
      </w:pPr>
      <w:r>
        <w:rPr>
          <w:rFonts w:hint="eastAsia"/>
        </w:rPr>
        <w:t>建立文明诚信档案系统，统一评委标准、数据共享模型。</w:t>
      </w:r>
    </w:p>
    <w:p>
      <w:pPr>
        <w:pStyle w:val="167"/>
      </w:pPr>
      <w:r>
        <w:rPr>
          <w:rFonts w:hint="eastAsia"/>
        </w:rPr>
        <w:t>建立乡村数字诚信平台，设置微心愿、微岗位、微民意、微发布、微积分等多个版块和应用场景，乡村居民可注册登陆，通过在线数字化服务及参与，获得诚信积分。</w:t>
      </w:r>
    </w:p>
    <w:p>
      <w:pPr>
        <w:pStyle w:val="107"/>
        <w:spacing w:before="156" w:after="156"/>
      </w:pPr>
      <w:bookmarkStart w:id="209" w:name="_Toc85221369"/>
      <w:bookmarkStart w:id="210" w:name="_Toc87382971"/>
      <w:bookmarkStart w:id="211" w:name="_Toc83763215"/>
      <w:bookmarkStart w:id="212" w:name="_Toc86955875"/>
      <w:bookmarkStart w:id="213" w:name="_Toc88429847"/>
      <w:r>
        <w:rPr>
          <w:rFonts w:hint="eastAsia"/>
        </w:rPr>
        <w:t>信访投诉</w:t>
      </w:r>
      <w:bookmarkEnd w:id="209"/>
      <w:bookmarkEnd w:id="210"/>
      <w:bookmarkEnd w:id="211"/>
      <w:bookmarkEnd w:id="212"/>
      <w:bookmarkEnd w:id="213"/>
    </w:p>
    <w:p>
      <w:pPr>
        <w:pStyle w:val="167"/>
      </w:pPr>
      <w:r>
        <w:rPr>
          <w:rFonts w:hint="eastAsia"/>
        </w:rPr>
        <w:t>在客户端上提供云上律师服务，包括本地律师在线解答，提供法律援助引导，建立律师联村机制，为乡村配备专属律师。</w:t>
      </w:r>
    </w:p>
    <w:p>
      <w:pPr>
        <w:pStyle w:val="167"/>
      </w:pPr>
      <w:r>
        <w:rPr>
          <w:rFonts w:hint="eastAsia"/>
        </w:rPr>
        <w:t>开设民生百问、民意直通车等应用，开通热线电话、新媒体爆料平台等，向乡村居民畅通问政通道，收集基层百姓关注的聚点问题，及时回应百姓关切，广泛开展意见征集，汇聚民智,倾听民声,反映民意,解决民忧。</w:t>
      </w:r>
    </w:p>
    <w:p>
      <w:pPr>
        <w:pStyle w:val="167"/>
      </w:pPr>
      <w:r>
        <w:rPr>
          <w:rFonts w:hint="eastAsia"/>
        </w:rPr>
        <w:t>开设基层监督通道，提供在线投诉、投诉查询、权力清单等服务，公开公示各类信息、案例。</w:t>
      </w:r>
    </w:p>
    <w:p>
      <w:pPr>
        <w:pStyle w:val="106"/>
        <w:spacing w:before="312" w:after="312"/>
      </w:pPr>
      <w:bookmarkStart w:id="214" w:name="_Toc80218199"/>
      <w:bookmarkStart w:id="215" w:name="_Toc83763218"/>
      <w:bookmarkStart w:id="216" w:name="_Toc85221370"/>
      <w:bookmarkStart w:id="217" w:name="_Toc80219018"/>
      <w:bookmarkStart w:id="218" w:name="_Toc88429848"/>
      <w:bookmarkStart w:id="219" w:name="_Toc87382972"/>
      <w:bookmarkStart w:id="220" w:name="_Toc86955876"/>
      <w:bookmarkStart w:id="221" w:name="_Toc79410893"/>
      <w:r>
        <w:rPr>
          <w:rFonts w:hint="eastAsia"/>
        </w:rPr>
        <w:t>服务保障</w:t>
      </w:r>
      <w:bookmarkEnd w:id="214"/>
      <w:bookmarkEnd w:id="215"/>
      <w:bookmarkEnd w:id="216"/>
      <w:bookmarkEnd w:id="217"/>
      <w:bookmarkEnd w:id="218"/>
      <w:bookmarkEnd w:id="219"/>
      <w:bookmarkEnd w:id="220"/>
    </w:p>
    <w:p>
      <w:pPr>
        <w:pStyle w:val="107"/>
        <w:spacing w:before="156" w:after="156"/>
      </w:pPr>
      <w:bookmarkStart w:id="222" w:name="_Toc86955877"/>
      <w:bookmarkStart w:id="223" w:name="_Toc88429849"/>
      <w:bookmarkStart w:id="224" w:name="_Toc83763219"/>
      <w:bookmarkStart w:id="225" w:name="_Toc85221371"/>
      <w:bookmarkStart w:id="226" w:name="_Toc87382973"/>
      <w:r>
        <w:rPr>
          <w:rFonts w:hint="eastAsia"/>
        </w:rPr>
        <w:t>人员保障</w:t>
      </w:r>
      <w:bookmarkEnd w:id="222"/>
      <w:bookmarkEnd w:id="223"/>
      <w:bookmarkEnd w:id="224"/>
      <w:bookmarkEnd w:id="225"/>
      <w:bookmarkEnd w:id="226"/>
    </w:p>
    <w:p>
      <w:pPr>
        <w:pStyle w:val="67"/>
        <w:spacing w:before="156" w:after="156"/>
      </w:pPr>
      <w:r>
        <w:rPr>
          <w:rFonts w:hint="eastAsia"/>
        </w:rPr>
        <w:t>人员配置</w:t>
      </w:r>
    </w:p>
    <w:p>
      <w:pPr>
        <w:pStyle w:val="166"/>
      </w:pPr>
      <w:r>
        <w:rPr>
          <w:rFonts w:hint="eastAsia"/>
        </w:rPr>
        <w:t>配备专业的软件开发团队，包括项目经理、产品经理、前端开发、后端开发、UI设计、测试、实施等多个岗位。</w:t>
      </w:r>
    </w:p>
    <w:p>
      <w:pPr>
        <w:pStyle w:val="166"/>
      </w:pPr>
      <w:r>
        <w:rPr>
          <w:rFonts w:hint="eastAsia"/>
        </w:rPr>
        <w:t>配备广播电视、视频监控等系统维护的运维人员，保证相关系统的正常运行服务。</w:t>
      </w:r>
    </w:p>
    <w:p>
      <w:pPr>
        <w:pStyle w:val="67"/>
        <w:spacing w:before="156" w:after="156"/>
      </w:pPr>
      <w:r>
        <w:rPr>
          <w:rFonts w:hint="eastAsia"/>
        </w:rPr>
        <w:t>工作职责</w:t>
      </w:r>
    </w:p>
    <w:p>
      <w:pPr>
        <w:pStyle w:val="96"/>
        <w:spacing w:before="156" w:after="156"/>
      </w:pPr>
      <w:r>
        <w:rPr>
          <w:rFonts w:hint="eastAsia"/>
        </w:rPr>
        <w:t>基本要求</w:t>
      </w:r>
    </w:p>
    <w:p>
      <w:pPr>
        <w:pStyle w:val="58"/>
        <w:ind w:firstLine="420"/>
      </w:pPr>
      <w:r>
        <w:rPr>
          <w:rFonts w:hint="eastAsia"/>
        </w:rPr>
        <w:t>具备完善的产品研发及实施能力，负责软件项目全流程服务，包括前期需求收集、需求分析、方案设计、产品研发、测试、实施等。</w:t>
      </w:r>
    </w:p>
    <w:p>
      <w:pPr>
        <w:pStyle w:val="96"/>
        <w:spacing w:before="156" w:after="156"/>
      </w:pPr>
      <w:r>
        <w:rPr>
          <w:rFonts w:hint="eastAsia"/>
        </w:rPr>
        <w:t>运维专管员</w:t>
      </w:r>
    </w:p>
    <w:p>
      <w:pPr>
        <w:pStyle w:val="169"/>
      </w:pPr>
      <w:r>
        <w:rPr>
          <w:rFonts w:hint="eastAsia"/>
        </w:rPr>
        <w:t>相关系统的平台日常维护工作。</w:t>
      </w:r>
    </w:p>
    <w:p>
      <w:pPr>
        <w:pStyle w:val="169"/>
      </w:pPr>
      <w:r>
        <w:rPr>
          <w:rFonts w:hint="eastAsia"/>
        </w:rPr>
        <w:t>相关系统的服务器等设备日常维护和故障工作。</w:t>
      </w:r>
    </w:p>
    <w:p>
      <w:pPr>
        <w:pStyle w:val="169"/>
      </w:pPr>
      <w:r>
        <w:rPr>
          <w:rFonts w:hint="eastAsia"/>
        </w:rPr>
        <w:t>相关系统与使用方对接，对使用方的账户分配及管理、安排培训、平台资源管理等工作。</w:t>
      </w:r>
    </w:p>
    <w:p>
      <w:pPr>
        <w:pStyle w:val="96"/>
        <w:spacing w:before="156" w:after="156"/>
      </w:pPr>
      <w:r>
        <w:rPr>
          <w:rFonts w:hint="eastAsia"/>
        </w:rPr>
        <w:t>运维调度人员</w:t>
      </w:r>
    </w:p>
    <w:p>
      <w:pPr>
        <w:pStyle w:val="169"/>
      </w:pPr>
      <w:r>
        <w:rPr>
          <w:rFonts w:hint="eastAsia"/>
        </w:rPr>
        <w:t>负责与运维专管员对接，对系统中的点位设备的故障进行统计和派单工作。</w:t>
      </w:r>
    </w:p>
    <w:p>
      <w:pPr>
        <w:pStyle w:val="169"/>
      </w:pPr>
      <w:r>
        <w:rPr>
          <w:rFonts w:hint="eastAsia"/>
        </w:rPr>
        <w:t>与维修施工队、线路抢修人员对接，安排施工队对故障点位进行每日的维修工作，安排线路抢修人员对线路故障进行抢修工作。</w:t>
      </w:r>
    </w:p>
    <w:p>
      <w:pPr>
        <w:pStyle w:val="169"/>
      </w:pPr>
      <w:r>
        <w:rPr>
          <w:rFonts w:hint="eastAsia"/>
        </w:rPr>
        <w:t>负责每日的维修统计工作和日常的维修报表，相关在线率、维修及时率、月报等统计工作。</w:t>
      </w:r>
    </w:p>
    <w:p>
      <w:pPr>
        <w:pStyle w:val="96"/>
        <w:spacing w:before="156" w:after="156"/>
      </w:pPr>
      <w:r>
        <w:rPr>
          <w:rFonts w:hint="eastAsia"/>
        </w:rPr>
        <w:t>线路维修人员</w:t>
      </w:r>
    </w:p>
    <w:p>
      <w:pPr>
        <w:pStyle w:val="58"/>
        <w:ind w:firstLine="420"/>
      </w:pPr>
      <w:r>
        <w:rPr>
          <w:rFonts w:hint="eastAsia"/>
        </w:rPr>
        <w:t>对光缆线路、电源线路等链路进行维修工作，确保链路资源的正常。</w:t>
      </w:r>
    </w:p>
    <w:p>
      <w:pPr>
        <w:pStyle w:val="107"/>
        <w:spacing w:before="156" w:after="156"/>
      </w:pPr>
      <w:bookmarkStart w:id="227" w:name="_Toc87382974"/>
      <w:bookmarkStart w:id="228" w:name="_Toc88429850"/>
      <w:bookmarkStart w:id="229" w:name="_Toc86955878"/>
      <w:bookmarkStart w:id="230" w:name="_Toc83763220"/>
      <w:bookmarkStart w:id="231" w:name="_Toc85221372"/>
      <w:r>
        <w:rPr>
          <w:rFonts w:hint="eastAsia"/>
        </w:rPr>
        <w:t>安全保障</w:t>
      </w:r>
      <w:bookmarkEnd w:id="227"/>
      <w:bookmarkEnd w:id="228"/>
      <w:bookmarkEnd w:id="229"/>
      <w:bookmarkEnd w:id="230"/>
      <w:bookmarkEnd w:id="231"/>
    </w:p>
    <w:p>
      <w:pPr>
        <w:pStyle w:val="67"/>
        <w:spacing w:before="156" w:after="156"/>
      </w:pPr>
      <w:r>
        <w:rPr>
          <w:rFonts w:hint="eastAsia"/>
        </w:rPr>
        <w:t>刊播安全</w:t>
      </w:r>
    </w:p>
    <w:p>
      <w:pPr>
        <w:pStyle w:val="58"/>
        <w:ind w:firstLine="420"/>
      </w:pPr>
      <w:r>
        <w:rPr>
          <w:rFonts w:hint="eastAsia"/>
        </w:rPr>
        <w:t>创新移动平台网络播出方式，采用或自主研发安全可靠的直播系统，确定专人运维，建立完善的内容预审机制、网络直播管理机制和应急预案，确保网络播出安全。</w:t>
      </w:r>
    </w:p>
    <w:p>
      <w:pPr>
        <w:pStyle w:val="67"/>
        <w:spacing w:before="156" w:after="156"/>
      </w:pPr>
      <w:r>
        <w:rPr>
          <w:rFonts w:hint="eastAsia"/>
        </w:rPr>
        <w:t>网络安全</w:t>
      </w:r>
    </w:p>
    <w:p>
      <w:pPr>
        <w:pStyle w:val="166"/>
      </w:pPr>
      <w:r>
        <w:rPr>
          <w:rFonts w:hint="eastAsia"/>
        </w:rPr>
        <w:t>应提供完善的网络安全保障机制，包括：网络安全策略、访问控制安全审计、防火墙和入侵检测、网络边界安全和线路安全等内容。</w:t>
      </w:r>
    </w:p>
    <w:p>
      <w:pPr>
        <w:pStyle w:val="166"/>
      </w:pPr>
      <w:r>
        <w:rPr>
          <w:rFonts w:hint="eastAsia"/>
        </w:rPr>
        <w:t>通过不同的光缆路径，以环路保护双链路形式进行网络传输，重要设备使用主备双机冗余设计，同时使用相关监测系统的对设备及链路进行监测，并制定详细的应急及抢修的方案、实施管理办法，确保网络安全传输。</w:t>
      </w:r>
    </w:p>
    <w:p>
      <w:pPr>
        <w:pStyle w:val="166"/>
      </w:pPr>
      <w:r>
        <w:rPr>
          <w:rFonts w:hint="eastAsia"/>
        </w:rPr>
        <w:t>建设广播电视播出系统，具备完善的主备视频服务器、主备迁移、接口和转码服务器，保障播出及转播安全。</w:t>
      </w:r>
    </w:p>
    <w:p>
      <w:pPr>
        <w:pStyle w:val="166"/>
      </w:pPr>
      <w:r>
        <w:rPr>
          <w:rFonts w:hint="eastAsia"/>
        </w:rPr>
        <w:t>网络出口使用通信公司提供的固定专线。固定宽带通过负载均衡实现流量的分摊。在负载均衡后使用防火墙进行外网与内网的隔离，建立相对应的规则使内网用户实现上网功能，并在防火墙上开启内容过滤、入侵防护、主机监控等安全功能保证网络安全。</w:t>
      </w:r>
    </w:p>
    <w:p>
      <w:pPr>
        <w:pStyle w:val="67"/>
        <w:spacing w:before="156" w:after="156"/>
      </w:pPr>
      <w:r>
        <w:rPr>
          <w:rFonts w:hint="eastAsia"/>
        </w:rPr>
        <w:t>数据安全</w:t>
      </w:r>
    </w:p>
    <w:p>
      <w:pPr>
        <w:pStyle w:val="58"/>
        <w:ind w:firstLine="420"/>
      </w:pPr>
      <w:r>
        <w:rPr>
          <w:rFonts w:hint="eastAsia"/>
        </w:rPr>
        <w:t>应提供完善的数据保障机制，包括：数据库安全策略、数据访问痕迹记录、敏感数据存储和传输加密、数据备份和恢复机制功能。所有对针对服务对象的信息的访问都需要记录访问者和访问时间，便于后续追溯查询。</w:t>
      </w:r>
    </w:p>
    <w:bookmarkEnd w:id="221"/>
    <w:p>
      <w:pPr>
        <w:pStyle w:val="106"/>
        <w:spacing w:before="312" w:after="312"/>
      </w:pPr>
      <w:bookmarkStart w:id="232" w:name="_Toc83763221"/>
      <w:bookmarkStart w:id="233" w:name="_Toc88429851"/>
      <w:bookmarkStart w:id="234" w:name="_Toc87382975"/>
      <w:bookmarkStart w:id="235" w:name="_Toc80218202"/>
      <w:bookmarkStart w:id="236" w:name="_Toc80219021"/>
      <w:bookmarkStart w:id="237" w:name="_Toc86955879"/>
      <w:bookmarkStart w:id="238" w:name="_Toc85221373"/>
      <w:r>
        <w:rPr>
          <w:rFonts w:hint="eastAsia"/>
        </w:rPr>
        <w:t>服务质量管理</w:t>
      </w:r>
      <w:bookmarkEnd w:id="232"/>
      <w:bookmarkEnd w:id="233"/>
      <w:bookmarkEnd w:id="234"/>
      <w:bookmarkEnd w:id="235"/>
      <w:bookmarkEnd w:id="236"/>
      <w:bookmarkEnd w:id="237"/>
      <w:bookmarkEnd w:id="238"/>
    </w:p>
    <w:p>
      <w:pPr>
        <w:pStyle w:val="107"/>
        <w:spacing w:before="156" w:after="156"/>
      </w:pPr>
      <w:bookmarkStart w:id="239" w:name="_Toc88429852"/>
      <w:bookmarkStart w:id="240" w:name="_Toc86955880"/>
      <w:bookmarkStart w:id="241" w:name="_Toc83763222"/>
      <w:bookmarkStart w:id="242" w:name="_Toc85221374"/>
      <w:bookmarkStart w:id="243" w:name="_Toc87382976"/>
      <w:r>
        <w:rPr>
          <w:rFonts w:hint="eastAsia"/>
        </w:rPr>
        <w:t>服务质量评价与改进</w:t>
      </w:r>
      <w:bookmarkEnd w:id="239"/>
      <w:bookmarkEnd w:id="240"/>
      <w:bookmarkEnd w:id="241"/>
      <w:bookmarkEnd w:id="242"/>
      <w:bookmarkEnd w:id="243"/>
    </w:p>
    <w:p>
      <w:pPr>
        <w:pStyle w:val="167"/>
      </w:pPr>
      <w:r>
        <w:rPr>
          <w:rFonts w:hint="eastAsia"/>
        </w:rPr>
        <w:t>应建立有效的服务质量监督机制，对服务质量进行有效的控制并进行定期的监督和检查，服务项目接受监督。</w:t>
      </w:r>
    </w:p>
    <w:p>
      <w:pPr>
        <w:pStyle w:val="167"/>
      </w:pPr>
      <w:r>
        <w:rPr>
          <w:rFonts w:hint="eastAsia"/>
        </w:rPr>
        <w:t>定期进行自评价或自考核，并根据评价考核情况制定改进措施。</w:t>
      </w:r>
    </w:p>
    <w:p>
      <w:pPr>
        <w:pStyle w:val="167"/>
      </w:pPr>
      <w:r>
        <w:rPr>
          <w:rFonts w:hint="eastAsia"/>
        </w:rPr>
        <w:t>应对外公布服务质量监督电话，采用问卷、意见簿、微信公众号等多种方式收集分析服务质量的意见，并做详细记录。</w:t>
      </w:r>
    </w:p>
    <w:p>
      <w:pPr>
        <w:pStyle w:val="167"/>
      </w:pPr>
      <w:r>
        <w:rPr>
          <w:rFonts w:hint="eastAsia"/>
        </w:rPr>
        <w:t>应对考核评定结果进行分析评价，对服务质量实施改进。</w:t>
      </w:r>
    </w:p>
    <w:p>
      <w:pPr>
        <w:pStyle w:val="107"/>
        <w:spacing w:before="156" w:after="156"/>
      </w:pPr>
      <w:bookmarkStart w:id="244" w:name="_Toc86955881"/>
      <w:bookmarkStart w:id="245" w:name="_Toc85221375"/>
      <w:bookmarkStart w:id="246" w:name="_Toc87382977"/>
      <w:bookmarkStart w:id="247" w:name="_Toc83763223"/>
      <w:bookmarkStart w:id="248" w:name="_Toc88429853"/>
      <w:r>
        <w:rPr>
          <w:rFonts w:hint="eastAsia"/>
        </w:rPr>
        <w:t>投诉处理</w:t>
      </w:r>
      <w:bookmarkEnd w:id="244"/>
      <w:bookmarkEnd w:id="245"/>
      <w:bookmarkEnd w:id="246"/>
      <w:bookmarkEnd w:id="247"/>
      <w:bookmarkEnd w:id="248"/>
    </w:p>
    <w:p>
      <w:pPr>
        <w:pStyle w:val="167"/>
      </w:pPr>
      <w:r>
        <w:rPr>
          <w:rFonts w:hint="eastAsia"/>
        </w:rPr>
        <w:t>应建立投诉制度，公布投诉电话（网址）。</w:t>
      </w:r>
    </w:p>
    <w:p>
      <w:pPr>
        <w:pStyle w:val="167"/>
      </w:pPr>
      <w:r>
        <w:rPr>
          <w:rFonts w:hint="eastAsia"/>
        </w:rPr>
        <w:t>应按投诉制度规定的流程操作，明确直接责任部门，在承诺的时间内及时、妥善处理投诉。</w:t>
      </w:r>
    </w:p>
    <w:p>
      <w:pPr>
        <w:pStyle w:val="167"/>
      </w:pPr>
      <w:r>
        <w:rPr>
          <w:rFonts w:hint="eastAsia"/>
        </w:rPr>
        <w:t>应建立完整的投诉处理经过及结果的档案，保持档案资料的完整性、准确性和可追溯性。</w:t>
      </w:r>
    </w:p>
    <w:p>
      <w:pPr>
        <w:pStyle w:val="58"/>
        <w:ind w:firstLine="420"/>
      </w:pPr>
    </w:p>
    <w:p>
      <w:pPr>
        <w:pStyle w:val="58"/>
        <w:ind w:firstLine="420"/>
      </w:pPr>
    </w:p>
    <w:p>
      <w:pPr>
        <w:pStyle w:val="58"/>
        <w:ind w:firstLine="420"/>
      </w:pPr>
    </w:p>
    <w:p>
      <w:pPr>
        <w:pStyle w:val="58"/>
        <w:ind w:firstLine="420"/>
        <w:sectPr>
          <w:pgSz w:w="11906" w:h="16838"/>
          <w:pgMar w:top="2410" w:right="1134" w:bottom="1134" w:left="1134" w:header="1418" w:footer="1134" w:gutter="284"/>
          <w:cols w:space="425" w:num="1"/>
          <w:formProt w:val="0"/>
          <w:docGrid w:type="lines" w:linePitch="312" w:charSpace="0"/>
        </w:sectPr>
      </w:pPr>
    </w:p>
    <w:bookmarkEnd w:id="30"/>
    <w:p>
      <w:pPr>
        <w:pStyle w:val="200"/>
        <w:rPr>
          <w:vanish w:val="0"/>
        </w:rPr>
      </w:pPr>
      <w:bookmarkStart w:id="249" w:name="BookMark5"/>
    </w:p>
    <w:p>
      <w:pPr>
        <w:pStyle w:val="201"/>
        <w:rPr>
          <w:vanish w:val="0"/>
        </w:rPr>
      </w:pPr>
    </w:p>
    <w:p>
      <w:pPr>
        <w:pStyle w:val="78"/>
        <w:spacing w:before="78" w:after="156"/>
      </w:pPr>
      <w:r>
        <w:br w:type="textWrapping"/>
      </w:r>
      <w:bookmarkStart w:id="250" w:name="_Toc88429854"/>
      <w:bookmarkStart w:id="251" w:name="_Toc87382978"/>
      <w:r>
        <w:rPr>
          <w:rFonts w:hint="eastAsia"/>
        </w:rPr>
        <w:t>（规范性）</w:t>
      </w:r>
      <w:r>
        <w:br w:type="textWrapping"/>
      </w:r>
      <w:r>
        <w:rPr>
          <w:rFonts w:hint="eastAsia"/>
        </w:rPr>
        <w:t>未来乡村智慧广电公共服务载体</w:t>
      </w:r>
      <w:bookmarkEnd w:id="250"/>
      <w:bookmarkEnd w:id="251"/>
    </w:p>
    <w:p>
      <w:pPr>
        <w:pStyle w:val="58"/>
        <w:ind w:firstLine="420"/>
      </w:pPr>
      <w:r>
        <w:rPr>
          <w:rFonts w:hint="eastAsia"/>
        </w:rPr>
        <w:t>未来乡村智慧广电公共服务载体配置如下:</w:t>
      </w:r>
    </w:p>
    <w:p>
      <w:pPr>
        <w:pStyle w:val="79"/>
        <w:spacing w:before="156" w:after="156"/>
      </w:pPr>
      <w:r>
        <w:rPr>
          <w:rFonts w:hint="eastAsia"/>
        </w:rPr>
        <w:t>未来乡村智慧广电公共服务载体配置表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0"/>
        <w:gridCol w:w="680"/>
        <w:gridCol w:w="2126"/>
        <w:gridCol w:w="851"/>
        <w:gridCol w:w="709"/>
        <w:gridCol w:w="879"/>
        <w:gridCol w:w="963"/>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vMerge w:val="restart"/>
            <w:shd w:val="clear" w:color="auto" w:fill="auto"/>
            <w:vAlign w:val="center"/>
          </w:tcPr>
          <w:p>
            <w:pPr>
              <w:pStyle w:val="235"/>
              <w:ind w:firstLine="0" w:firstLineChars="0"/>
              <w:jc w:val="center"/>
              <w:rPr>
                <w:sz w:val="18"/>
                <w:szCs w:val="16"/>
              </w:rPr>
            </w:pPr>
            <w:bookmarkStart w:id="252" w:name="_Hlk87382713"/>
            <w:r>
              <w:rPr>
                <w:rFonts w:hint="eastAsia"/>
                <w:sz w:val="18"/>
                <w:szCs w:val="16"/>
              </w:rPr>
              <w:t>序号</w:t>
            </w:r>
          </w:p>
        </w:tc>
        <w:tc>
          <w:tcPr>
            <w:tcW w:w="3656" w:type="dxa"/>
            <w:gridSpan w:val="3"/>
            <w:shd w:val="clear" w:color="auto" w:fill="auto"/>
          </w:tcPr>
          <w:p>
            <w:pPr>
              <w:pStyle w:val="235"/>
              <w:ind w:firstLine="0" w:firstLineChars="0"/>
              <w:jc w:val="center"/>
              <w:rPr>
                <w:sz w:val="18"/>
                <w:szCs w:val="16"/>
              </w:rPr>
            </w:pPr>
            <w:r>
              <w:rPr>
                <w:rFonts w:hint="eastAsia"/>
                <w:sz w:val="18"/>
                <w:szCs w:val="16"/>
              </w:rPr>
              <w:t>未来乡村应用场景</w:t>
            </w:r>
          </w:p>
        </w:tc>
        <w:tc>
          <w:tcPr>
            <w:tcW w:w="5245" w:type="dxa"/>
            <w:gridSpan w:val="6"/>
            <w:shd w:val="clear" w:color="auto" w:fill="auto"/>
            <w:vAlign w:val="center"/>
          </w:tcPr>
          <w:p>
            <w:pPr>
              <w:pStyle w:val="235"/>
              <w:ind w:firstLine="0" w:firstLineChars="0"/>
              <w:jc w:val="center"/>
              <w:rPr>
                <w:sz w:val="18"/>
                <w:szCs w:val="16"/>
              </w:rPr>
            </w:pPr>
            <w:r>
              <w:rPr>
                <w:rFonts w:hint="eastAsia"/>
                <w:sz w:val="18"/>
                <w:szCs w:val="16"/>
              </w:rPr>
              <w:t>广电各类载体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421" w:type="dxa"/>
            <w:vMerge w:val="continue"/>
            <w:shd w:val="clear" w:color="auto" w:fill="auto"/>
            <w:vAlign w:val="center"/>
          </w:tcPr>
          <w:p>
            <w:pPr>
              <w:pStyle w:val="235"/>
              <w:ind w:firstLine="360"/>
              <w:jc w:val="center"/>
              <w:rPr>
                <w:sz w:val="18"/>
                <w:szCs w:val="16"/>
              </w:rPr>
            </w:pPr>
          </w:p>
        </w:tc>
        <w:tc>
          <w:tcPr>
            <w:tcW w:w="850" w:type="dxa"/>
            <w:shd w:val="clear" w:color="auto" w:fill="auto"/>
            <w:vAlign w:val="center"/>
          </w:tcPr>
          <w:p>
            <w:pPr>
              <w:pStyle w:val="235"/>
              <w:ind w:firstLine="0" w:firstLineChars="0"/>
              <w:jc w:val="center"/>
              <w:rPr>
                <w:sz w:val="18"/>
                <w:szCs w:val="16"/>
              </w:rPr>
            </w:pPr>
            <w:r>
              <w:rPr>
                <w:rFonts w:hint="eastAsia"/>
                <w:sz w:val="18"/>
                <w:szCs w:val="16"/>
              </w:rPr>
              <w:t>业务应用配置</w:t>
            </w:r>
          </w:p>
        </w:tc>
        <w:tc>
          <w:tcPr>
            <w:tcW w:w="2806" w:type="dxa"/>
            <w:gridSpan w:val="2"/>
            <w:shd w:val="clear" w:color="auto" w:fill="auto"/>
          </w:tcPr>
          <w:p>
            <w:pPr>
              <w:pStyle w:val="235"/>
              <w:ind w:firstLine="0" w:firstLineChars="0"/>
              <w:jc w:val="center"/>
              <w:rPr>
                <w:sz w:val="18"/>
                <w:szCs w:val="16"/>
              </w:rPr>
            </w:pPr>
            <w:r>
              <w:rPr>
                <w:rFonts w:hint="eastAsia"/>
                <w:sz w:val="18"/>
                <w:szCs w:val="16"/>
              </w:rPr>
              <w:t>具体应用</w:t>
            </w:r>
          </w:p>
        </w:tc>
        <w:tc>
          <w:tcPr>
            <w:tcW w:w="851" w:type="dxa"/>
            <w:shd w:val="clear" w:color="auto" w:fill="auto"/>
            <w:vAlign w:val="center"/>
          </w:tcPr>
          <w:p>
            <w:pPr>
              <w:pStyle w:val="235"/>
              <w:ind w:firstLine="0" w:firstLineChars="0"/>
              <w:jc w:val="center"/>
              <w:rPr>
                <w:sz w:val="18"/>
                <w:szCs w:val="16"/>
              </w:rPr>
            </w:pPr>
            <w:r>
              <w:rPr>
                <w:rFonts w:hint="eastAsia"/>
                <w:sz w:val="18"/>
                <w:szCs w:val="16"/>
              </w:rPr>
              <w:t>广播电视</w:t>
            </w:r>
          </w:p>
        </w:tc>
        <w:tc>
          <w:tcPr>
            <w:tcW w:w="709" w:type="dxa"/>
            <w:shd w:val="clear" w:color="auto" w:fill="auto"/>
            <w:vAlign w:val="center"/>
          </w:tcPr>
          <w:p>
            <w:pPr>
              <w:pStyle w:val="235"/>
              <w:ind w:firstLine="0" w:firstLineChars="0"/>
              <w:jc w:val="center"/>
              <w:rPr>
                <w:sz w:val="18"/>
                <w:szCs w:val="16"/>
              </w:rPr>
            </w:pPr>
            <w:r>
              <w:rPr>
                <w:rFonts w:hint="eastAsia"/>
                <w:sz w:val="18"/>
                <w:szCs w:val="16"/>
              </w:rPr>
              <w:t>客户端</w:t>
            </w:r>
          </w:p>
        </w:tc>
        <w:tc>
          <w:tcPr>
            <w:tcW w:w="879" w:type="dxa"/>
            <w:shd w:val="clear" w:color="auto" w:fill="auto"/>
            <w:vAlign w:val="center"/>
          </w:tcPr>
          <w:p>
            <w:pPr>
              <w:pStyle w:val="235"/>
              <w:ind w:firstLine="0" w:firstLineChars="0"/>
              <w:jc w:val="center"/>
              <w:rPr>
                <w:sz w:val="18"/>
                <w:szCs w:val="16"/>
              </w:rPr>
            </w:pPr>
            <w:r>
              <w:rPr>
                <w:rFonts w:hint="eastAsia"/>
                <w:sz w:val="18"/>
                <w:szCs w:val="16"/>
              </w:rPr>
              <w:t>新媒体平台</w:t>
            </w:r>
          </w:p>
        </w:tc>
        <w:tc>
          <w:tcPr>
            <w:tcW w:w="963" w:type="dxa"/>
            <w:shd w:val="clear" w:color="auto" w:fill="auto"/>
          </w:tcPr>
          <w:p>
            <w:pPr>
              <w:pStyle w:val="235"/>
              <w:ind w:firstLine="0" w:firstLineChars="0"/>
              <w:jc w:val="center"/>
              <w:rPr>
                <w:sz w:val="18"/>
                <w:szCs w:val="16"/>
              </w:rPr>
            </w:pPr>
            <w:r>
              <w:rPr>
                <w:rFonts w:hint="eastAsia"/>
                <w:sz w:val="18"/>
                <w:szCs w:val="16"/>
              </w:rPr>
              <w:t>本地屏</w:t>
            </w:r>
          </w:p>
        </w:tc>
        <w:tc>
          <w:tcPr>
            <w:tcW w:w="993" w:type="dxa"/>
            <w:shd w:val="clear" w:color="auto" w:fill="auto"/>
          </w:tcPr>
          <w:p>
            <w:pPr>
              <w:pStyle w:val="235"/>
              <w:ind w:firstLine="0" w:firstLineChars="0"/>
              <w:jc w:val="center"/>
              <w:rPr>
                <w:sz w:val="18"/>
                <w:szCs w:val="16"/>
              </w:rPr>
            </w:pPr>
            <w:r>
              <w:rPr>
                <w:rFonts w:hint="eastAsia"/>
                <w:sz w:val="18"/>
                <w:szCs w:val="16"/>
              </w:rPr>
              <w:t>应急广播</w:t>
            </w:r>
          </w:p>
        </w:tc>
        <w:tc>
          <w:tcPr>
            <w:tcW w:w="850" w:type="dxa"/>
            <w:shd w:val="clear" w:color="auto" w:fill="auto"/>
          </w:tcPr>
          <w:p>
            <w:pPr>
              <w:pStyle w:val="235"/>
              <w:ind w:firstLine="0" w:firstLineChars="0"/>
              <w:jc w:val="center"/>
              <w:rPr>
                <w:sz w:val="18"/>
                <w:szCs w:val="16"/>
              </w:rPr>
            </w:pPr>
            <w:r>
              <w:rPr>
                <w:rFonts w:hint="eastAsia"/>
                <w:sz w:val="18"/>
                <w:szCs w:val="16"/>
              </w:rPr>
              <w:t>新开发系统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1</w:t>
            </w:r>
          </w:p>
        </w:tc>
        <w:tc>
          <w:tcPr>
            <w:tcW w:w="850" w:type="dxa"/>
            <w:vMerge w:val="restart"/>
            <w:shd w:val="clear" w:color="auto" w:fill="auto"/>
            <w:vAlign w:val="center"/>
          </w:tcPr>
          <w:p>
            <w:pPr>
              <w:pStyle w:val="237"/>
              <w:jc w:val="center"/>
              <w:rPr>
                <w:rFonts w:ascii="宋体" w:eastAsia="宋体"/>
                <w:sz w:val="18"/>
                <w:szCs w:val="16"/>
              </w:rPr>
            </w:pPr>
            <w:r>
              <w:rPr>
                <w:rFonts w:hint="eastAsia" w:ascii="宋体" w:eastAsia="宋体"/>
                <w:sz w:val="18"/>
                <w:szCs w:val="16"/>
              </w:rPr>
              <w:t>数字生产</w:t>
            </w:r>
          </w:p>
          <w:p>
            <w:pPr>
              <w:pStyle w:val="235"/>
              <w:ind w:firstLine="360"/>
              <w:jc w:val="center"/>
              <w:rPr>
                <w:sz w:val="18"/>
                <w:szCs w:val="16"/>
              </w:rPr>
            </w:pPr>
          </w:p>
        </w:tc>
        <w:tc>
          <w:tcPr>
            <w:tcW w:w="680" w:type="dxa"/>
            <w:vMerge w:val="restart"/>
            <w:shd w:val="clear" w:color="auto" w:fill="auto"/>
          </w:tcPr>
          <w:p>
            <w:pPr>
              <w:pStyle w:val="235"/>
              <w:ind w:firstLine="0" w:firstLineChars="0"/>
              <w:jc w:val="center"/>
              <w:rPr>
                <w:sz w:val="18"/>
                <w:szCs w:val="16"/>
              </w:rPr>
            </w:pPr>
            <w:r>
              <w:rPr>
                <w:rFonts w:hint="eastAsia"/>
                <w:sz w:val="18"/>
                <w:szCs w:val="16"/>
              </w:rPr>
              <w:t>媒体助农</w:t>
            </w:r>
          </w:p>
        </w:tc>
        <w:tc>
          <w:tcPr>
            <w:tcW w:w="2126" w:type="dxa"/>
            <w:shd w:val="clear" w:color="auto" w:fill="auto"/>
            <w:vAlign w:val="center"/>
          </w:tcPr>
          <w:p>
            <w:pPr>
              <w:pStyle w:val="235"/>
              <w:ind w:firstLine="0" w:firstLineChars="0"/>
              <w:jc w:val="center"/>
              <w:rPr>
                <w:sz w:val="18"/>
                <w:szCs w:val="16"/>
              </w:rPr>
            </w:pPr>
            <w:r>
              <w:rPr>
                <w:rFonts w:hint="eastAsia"/>
                <w:sz w:val="18"/>
                <w:szCs w:val="16"/>
              </w:rPr>
              <w:t>对农栏目</w:t>
            </w:r>
          </w:p>
        </w:tc>
        <w:tc>
          <w:tcPr>
            <w:tcW w:w="851" w:type="dxa"/>
            <w:shd w:val="clear" w:color="auto" w:fill="auto"/>
          </w:tcPr>
          <w:p>
            <w:pPr>
              <w:jc w:val="center"/>
              <w:rPr>
                <w:rFonts w:ascii="宋体"/>
                <w:szCs w:val="20"/>
              </w:rPr>
            </w:pPr>
            <w:r>
              <w:rPr>
                <w:rFonts w:ascii="宋体"/>
                <w:sz w:val="24"/>
              </w:rPr>
              <w:t>●</w:t>
            </w: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2</w:t>
            </w:r>
          </w:p>
        </w:tc>
        <w:tc>
          <w:tcPr>
            <w:tcW w:w="850" w:type="dxa"/>
            <w:vMerge w:val="continue"/>
            <w:shd w:val="clear" w:color="auto" w:fill="auto"/>
            <w:vAlign w:val="center"/>
          </w:tcPr>
          <w:p>
            <w:pPr>
              <w:pStyle w:val="235"/>
              <w:ind w:firstLine="36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采购商及农户信息共享服务</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3</w:t>
            </w:r>
          </w:p>
        </w:tc>
        <w:tc>
          <w:tcPr>
            <w:tcW w:w="850" w:type="dxa"/>
            <w:vMerge w:val="continue"/>
            <w:shd w:val="clear" w:color="auto" w:fill="auto"/>
            <w:vAlign w:val="center"/>
          </w:tcPr>
          <w:p>
            <w:pPr>
              <w:pStyle w:val="235"/>
              <w:ind w:firstLine="36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农事节庆活动</w:t>
            </w:r>
          </w:p>
        </w:tc>
        <w:tc>
          <w:tcPr>
            <w:tcW w:w="851" w:type="dxa"/>
            <w:shd w:val="clear" w:color="auto" w:fill="auto"/>
          </w:tcPr>
          <w:p>
            <w:pPr>
              <w:jc w:val="center"/>
              <w:rPr>
                <w:rFonts w:ascii="宋体"/>
                <w:szCs w:val="20"/>
              </w:rPr>
            </w:pPr>
            <w:r>
              <w:rPr>
                <w:rFonts w:ascii="宋体"/>
                <w:sz w:val="24"/>
              </w:rPr>
              <w:t>●</w:t>
            </w: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p>
        </w:tc>
        <w:tc>
          <w:tcPr>
            <w:tcW w:w="850" w:type="dxa"/>
            <w:vMerge w:val="continue"/>
            <w:shd w:val="clear" w:color="auto" w:fill="auto"/>
            <w:vAlign w:val="center"/>
          </w:tcPr>
          <w:p>
            <w:pPr>
              <w:pStyle w:val="235"/>
              <w:ind w:firstLine="36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宣传乡村智慧技术</w:t>
            </w:r>
          </w:p>
        </w:tc>
        <w:tc>
          <w:tcPr>
            <w:tcW w:w="851" w:type="dxa"/>
            <w:shd w:val="clear" w:color="auto" w:fill="auto"/>
          </w:tcPr>
          <w:p>
            <w:pPr>
              <w:jc w:val="center"/>
              <w:rPr>
                <w:rFonts w:ascii="宋体"/>
                <w:szCs w:val="20"/>
              </w:rPr>
            </w:pPr>
            <w:r>
              <w:rPr>
                <w:rFonts w:ascii="宋体"/>
                <w:sz w:val="24"/>
              </w:rPr>
              <w:t>●</w:t>
            </w: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5</w:t>
            </w:r>
          </w:p>
        </w:tc>
        <w:tc>
          <w:tcPr>
            <w:tcW w:w="850" w:type="dxa"/>
            <w:vMerge w:val="continue"/>
            <w:shd w:val="clear" w:color="auto" w:fill="auto"/>
            <w:vAlign w:val="center"/>
          </w:tcPr>
          <w:p>
            <w:pPr>
              <w:pStyle w:val="235"/>
              <w:ind w:firstLine="360"/>
              <w:jc w:val="center"/>
              <w:rPr>
                <w:sz w:val="18"/>
                <w:szCs w:val="16"/>
              </w:rPr>
            </w:pPr>
          </w:p>
        </w:tc>
        <w:tc>
          <w:tcPr>
            <w:tcW w:w="680" w:type="dxa"/>
            <w:vMerge w:val="restart"/>
            <w:shd w:val="clear" w:color="auto" w:fill="auto"/>
          </w:tcPr>
          <w:p>
            <w:pPr>
              <w:pStyle w:val="235"/>
              <w:ind w:firstLine="0" w:firstLineChars="0"/>
              <w:jc w:val="center"/>
              <w:rPr>
                <w:sz w:val="18"/>
                <w:szCs w:val="16"/>
              </w:rPr>
            </w:pPr>
            <w:r>
              <w:rPr>
                <w:rFonts w:hint="eastAsia"/>
                <w:sz w:val="18"/>
                <w:szCs w:val="16"/>
              </w:rPr>
              <w:t>公共事件</w:t>
            </w:r>
          </w:p>
        </w:tc>
        <w:tc>
          <w:tcPr>
            <w:tcW w:w="2126" w:type="dxa"/>
            <w:shd w:val="clear" w:color="auto" w:fill="auto"/>
            <w:vAlign w:val="center"/>
          </w:tcPr>
          <w:p>
            <w:pPr>
              <w:pStyle w:val="235"/>
              <w:ind w:firstLine="0" w:firstLineChars="0"/>
              <w:jc w:val="center"/>
              <w:rPr>
                <w:sz w:val="18"/>
                <w:szCs w:val="16"/>
              </w:rPr>
            </w:pPr>
            <w:r>
              <w:rPr>
                <w:rFonts w:hint="eastAsia"/>
                <w:sz w:val="18"/>
                <w:szCs w:val="16"/>
              </w:rPr>
              <w:t>推送各类公共突发事件</w:t>
            </w:r>
          </w:p>
        </w:tc>
        <w:tc>
          <w:tcPr>
            <w:tcW w:w="851" w:type="dxa"/>
            <w:shd w:val="clear" w:color="auto" w:fill="auto"/>
          </w:tcPr>
          <w:p>
            <w:pPr>
              <w:jc w:val="center"/>
              <w:rPr>
                <w:rFonts w:ascii="宋体"/>
                <w:szCs w:val="20"/>
              </w:rPr>
            </w:pPr>
            <w:r>
              <w:rPr>
                <w:rFonts w:ascii="宋体"/>
                <w:sz w:val="24"/>
              </w:rPr>
              <w:t>●</w:t>
            </w: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Cs w:val="20"/>
              </w:rPr>
            </w:pPr>
            <w:r>
              <w:rPr>
                <w:rFonts w:ascii="宋体"/>
                <w:sz w:val="24"/>
              </w:rPr>
              <w:t>●</w:t>
            </w:r>
          </w:p>
        </w:tc>
        <w:tc>
          <w:tcPr>
            <w:tcW w:w="963" w:type="dxa"/>
            <w:shd w:val="clear" w:color="auto" w:fill="auto"/>
          </w:tcPr>
          <w:p>
            <w:pPr>
              <w:jc w:val="center"/>
              <w:rPr>
                <w:rFonts w:ascii="宋体"/>
                <w:szCs w:val="20"/>
              </w:rPr>
            </w:pPr>
            <w:r>
              <w:rPr>
                <w:rFonts w:ascii="宋体"/>
                <w:sz w:val="24"/>
              </w:rPr>
              <w:t>●</w:t>
            </w:r>
          </w:p>
        </w:tc>
        <w:tc>
          <w:tcPr>
            <w:tcW w:w="993" w:type="dxa"/>
            <w:shd w:val="clear" w:color="auto" w:fill="auto"/>
          </w:tcPr>
          <w:p>
            <w:pPr>
              <w:jc w:val="center"/>
              <w:rPr>
                <w:rFonts w:ascii="宋体"/>
                <w:szCs w:val="20"/>
              </w:rPr>
            </w:pPr>
            <w:r>
              <w:rPr>
                <w:rFonts w:ascii="宋体"/>
                <w:sz w:val="24"/>
              </w:rPr>
              <w:t>●</w:t>
            </w: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6</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公共突发事件科普知识</w:t>
            </w:r>
          </w:p>
        </w:tc>
        <w:tc>
          <w:tcPr>
            <w:tcW w:w="851" w:type="dxa"/>
            <w:shd w:val="clear" w:color="auto" w:fill="auto"/>
          </w:tcPr>
          <w:p>
            <w:pPr>
              <w:jc w:val="center"/>
              <w:rPr>
                <w:rFonts w:ascii="宋体"/>
                <w:szCs w:val="20"/>
              </w:rPr>
            </w:pPr>
            <w:r>
              <w:rPr>
                <w:rFonts w:ascii="宋体"/>
                <w:sz w:val="24"/>
              </w:rPr>
              <w:t>●</w:t>
            </w: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Cs w:val="20"/>
              </w:rPr>
            </w:pPr>
            <w:r>
              <w:rPr>
                <w:rFonts w:ascii="宋体"/>
                <w:sz w:val="24"/>
              </w:rPr>
              <w:t>●</w:t>
            </w:r>
          </w:p>
        </w:tc>
        <w:tc>
          <w:tcPr>
            <w:tcW w:w="963" w:type="dxa"/>
            <w:shd w:val="clear" w:color="auto" w:fill="auto"/>
          </w:tcPr>
          <w:p>
            <w:pPr>
              <w:jc w:val="center"/>
              <w:rPr>
                <w:rFonts w:ascii="宋体"/>
                <w:szCs w:val="20"/>
              </w:rPr>
            </w:pPr>
            <w:r>
              <w:rPr>
                <w:rFonts w:ascii="宋体"/>
                <w:sz w:val="24"/>
              </w:rPr>
              <w:t>●</w:t>
            </w:r>
          </w:p>
        </w:tc>
        <w:tc>
          <w:tcPr>
            <w:tcW w:w="993" w:type="dxa"/>
            <w:shd w:val="clear" w:color="auto" w:fill="auto"/>
          </w:tcPr>
          <w:p>
            <w:pPr>
              <w:jc w:val="center"/>
              <w:rPr>
                <w:rFonts w:ascii="宋体"/>
                <w:szCs w:val="20"/>
              </w:rPr>
            </w:pPr>
            <w:r>
              <w:rPr>
                <w:rFonts w:ascii="宋体"/>
                <w:sz w:val="24"/>
              </w:rPr>
              <w:t>●</w:t>
            </w: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7</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本地天气、气象预警</w:t>
            </w:r>
          </w:p>
        </w:tc>
        <w:tc>
          <w:tcPr>
            <w:tcW w:w="851" w:type="dxa"/>
            <w:shd w:val="clear" w:color="auto" w:fill="auto"/>
          </w:tcPr>
          <w:p>
            <w:pPr>
              <w:jc w:val="center"/>
              <w:rPr>
                <w:rFonts w:ascii="宋体"/>
                <w:szCs w:val="20"/>
              </w:rPr>
            </w:pPr>
            <w:r>
              <w:rPr>
                <w:rFonts w:ascii="宋体"/>
                <w:sz w:val="24"/>
              </w:rPr>
              <w:t>●</w:t>
            </w:r>
          </w:p>
        </w:tc>
        <w:tc>
          <w:tcPr>
            <w:tcW w:w="709" w:type="dxa"/>
            <w:shd w:val="clear" w:color="auto" w:fill="auto"/>
          </w:tcPr>
          <w:p>
            <w:pPr>
              <w:jc w:val="cente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r>
              <w:rPr>
                <w:rFonts w:ascii="宋体"/>
                <w:sz w:val="24"/>
              </w:rPr>
              <w:t>●</w:t>
            </w: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11</w:t>
            </w:r>
          </w:p>
        </w:tc>
        <w:tc>
          <w:tcPr>
            <w:tcW w:w="850" w:type="dxa"/>
            <w:vMerge w:val="restart"/>
            <w:shd w:val="clear" w:color="auto" w:fill="auto"/>
            <w:vAlign w:val="center"/>
          </w:tcPr>
          <w:p>
            <w:pPr>
              <w:pStyle w:val="235"/>
              <w:ind w:firstLine="0" w:firstLineChars="0"/>
              <w:jc w:val="center"/>
              <w:rPr>
                <w:sz w:val="18"/>
                <w:szCs w:val="16"/>
              </w:rPr>
            </w:pPr>
            <w:r>
              <w:rPr>
                <w:rFonts w:hint="eastAsia"/>
                <w:sz w:val="18"/>
                <w:szCs w:val="16"/>
              </w:rPr>
              <w:t>数字生活</w:t>
            </w:r>
          </w:p>
        </w:tc>
        <w:tc>
          <w:tcPr>
            <w:tcW w:w="680" w:type="dxa"/>
            <w:vMerge w:val="restart"/>
            <w:shd w:val="clear" w:color="auto" w:fill="auto"/>
          </w:tcPr>
          <w:p>
            <w:pPr>
              <w:pStyle w:val="235"/>
              <w:ind w:firstLine="0" w:firstLineChars="0"/>
              <w:jc w:val="center"/>
              <w:rPr>
                <w:sz w:val="18"/>
                <w:szCs w:val="16"/>
              </w:rPr>
            </w:pPr>
            <w:r>
              <w:rPr>
                <w:rFonts w:hint="eastAsia"/>
                <w:sz w:val="18"/>
                <w:szCs w:val="16"/>
              </w:rPr>
              <w:t>邻里服务</w:t>
            </w:r>
          </w:p>
        </w:tc>
        <w:tc>
          <w:tcPr>
            <w:tcW w:w="2126" w:type="dxa"/>
            <w:shd w:val="clear" w:color="auto" w:fill="auto"/>
            <w:vAlign w:val="center"/>
          </w:tcPr>
          <w:p>
            <w:pPr>
              <w:pStyle w:val="235"/>
              <w:ind w:firstLine="0" w:firstLineChars="0"/>
              <w:jc w:val="center"/>
              <w:rPr>
                <w:sz w:val="18"/>
                <w:szCs w:val="16"/>
              </w:rPr>
            </w:pPr>
            <w:r>
              <w:rPr>
                <w:rFonts w:hint="eastAsia"/>
                <w:sz w:val="18"/>
                <w:szCs w:val="16"/>
              </w:rPr>
              <w:t>便民服务</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12</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乡村地图</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13</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慈善捐助</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15</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应用积分</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16</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restart"/>
            <w:shd w:val="clear" w:color="auto" w:fill="auto"/>
          </w:tcPr>
          <w:p>
            <w:pPr>
              <w:pStyle w:val="235"/>
              <w:ind w:firstLine="0" w:firstLineChars="0"/>
              <w:jc w:val="center"/>
              <w:rPr>
                <w:sz w:val="18"/>
                <w:szCs w:val="16"/>
              </w:rPr>
            </w:pPr>
            <w:r>
              <w:rPr>
                <w:rFonts w:hint="eastAsia"/>
                <w:sz w:val="18"/>
                <w:szCs w:val="16"/>
              </w:rPr>
              <w:t>资讯服务</w:t>
            </w:r>
          </w:p>
        </w:tc>
        <w:tc>
          <w:tcPr>
            <w:tcW w:w="2126" w:type="dxa"/>
            <w:shd w:val="clear" w:color="auto" w:fill="auto"/>
            <w:vAlign w:val="center"/>
          </w:tcPr>
          <w:p>
            <w:pPr>
              <w:pStyle w:val="235"/>
              <w:ind w:firstLine="0" w:firstLineChars="0"/>
              <w:jc w:val="center"/>
              <w:rPr>
                <w:color w:val="FF0000"/>
                <w:sz w:val="18"/>
                <w:szCs w:val="16"/>
              </w:rPr>
            </w:pPr>
            <w:r>
              <w:rPr>
                <w:rFonts w:hint="eastAsia"/>
                <w:sz w:val="18"/>
                <w:szCs w:val="16"/>
              </w:rPr>
              <w:t>资讯推送</w:t>
            </w:r>
          </w:p>
        </w:tc>
        <w:tc>
          <w:tcPr>
            <w:tcW w:w="851" w:type="dxa"/>
            <w:shd w:val="clear" w:color="auto" w:fill="auto"/>
          </w:tcPr>
          <w:p>
            <w:pPr>
              <w:jc w:val="center"/>
              <w:rPr>
                <w:rFonts w:ascii="宋体"/>
                <w:szCs w:val="20"/>
              </w:rPr>
            </w:pPr>
            <w:r>
              <w:rPr>
                <w:rFonts w:ascii="宋体"/>
                <w:sz w:val="24"/>
              </w:rPr>
              <w:t>●</w:t>
            </w:r>
          </w:p>
        </w:tc>
        <w:tc>
          <w:tcPr>
            <w:tcW w:w="709" w:type="dxa"/>
            <w:shd w:val="clear" w:color="auto" w:fill="auto"/>
          </w:tcPr>
          <w:p>
            <w:pPr>
              <w:jc w:val="center"/>
            </w:pPr>
            <w:r>
              <w:rPr>
                <w:rFonts w:ascii="宋体"/>
                <w:sz w:val="24"/>
              </w:rPr>
              <w:t>●</w:t>
            </w:r>
          </w:p>
        </w:tc>
        <w:tc>
          <w:tcPr>
            <w:tcW w:w="879" w:type="dxa"/>
            <w:shd w:val="clear" w:color="auto" w:fill="auto"/>
          </w:tcPr>
          <w:p>
            <w:pPr>
              <w:jc w:val="center"/>
              <w:rPr>
                <w:rFonts w:ascii="宋体"/>
                <w:szCs w:val="20"/>
              </w:rP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政务服务</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民生服务</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掌上政务</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17</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文化礼堂</w:t>
            </w:r>
          </w:p>
        </w:tc>
        <w:tc>
          <w:tcPr>
            <w:tcW w:w="851" w:type="dxa"/>
            <w:shd w:val="clear" w:color="auto" w:fill="auto"/>
          </w:tcPr>
          <w:p>
            <w:pPr>
              <w:jc w:val="center"/>
              <w:rPr>
                <w:rFonts w:ascii="宋体"/>
                <w:szCs w:val="20"/>
              </w:rPr>
            </w:pPr>
            <w:r>
              <w:rPr>
                <w:rFonts w:ascii="宋体"/>
                <w:sz w:val="24"/>
              </w:rPr>
              <w:t>●</w:t>
            </w: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18</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专属号服务</w:t>
            </w:r>
          </w:p>
        </w:tc>
        <w:tc>
          <w:tcPr>
            <w:tcW w:w="851" w:type="dxa"/>
            <w:shd w:val="clear" w:color="auto" w:fill="auto"/>
          </w:tcPr>
          <w:p>
            <w:pPr>
              <w:jc w:val="center"/>
              <w:rPr>
                <w:rFonts w:ascii="宋体"/>
                <w:szCs w:val="20"/>
              </w:rPr>
            </w:pPr>
            <w:r>
              <w:rPr>
                <w:rFonts w:ascii="宋体"/>
                <w:sz w:val="24"/>
              </w:rPr>
              <w:t>●</w:t>
            </w: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19</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入学资讯</w:t>
            </w:r>
          </w:p>
        </w:tc>
        <w:tc>
          <w:tcPr>
            <w:tcW w:w="851" w:type="dxa"/>
            <w:shd w:val="clear" w:color="auto" w:fill="auto"/>
          </w:tcPr>
          <w:p>
            <w:pPr>
              <w:jc w:val="center"/>
              <w:rPr>
                <w:rFonts w:ascii="宋体"/>
                <w:szCs w:val="20"/>
              </w:rPr>
            </w:pPr>
            <w:r>
              <w:rPr>
                <w:rFonts w:ascii="宋体"/>
                <w:sz w:val="24"/>
              </w:rPr>
              <w:t>●</w:t>
            </w: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20</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媒体教育</w:t>
            </w:r>
          </w:p>
        </w:tc>
        <w:tc>
          <w:tcPr>
            <w:tcW w:w="851" w:type="dxa"/>
            <w:shd w:val="clear" w:color="auto" w:fill="auto"/>
          </w:tcPr>
          <w:p>
            <w:pPr>
              <w:jc w:val="center"/>
              <w:rPr>
                <w:rFonts w:ascii="宋体"/>
                <w:szCs w:val="20"/>
              </w:rPr>
            </w:pPr>
            <w:r>
              <w:rPr>
                <w:rFonts w:ascii="宋体"/>
                <w:sz w:val="24"/>
              </w:rPr>
              <w:t>●</w:t>
            </w: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21</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线上教育</w:t>
            </w:r>
          </w:p>
        </w:tc>
        <w:tc>
          <w:tcPr>
            <w:tcW w:w="851" w:type="dxa"/>
            <w:shd w:val="clear" w:color="auto" w:fill="auto"/>
          </w:tcPr>
          <w:p>
            <w:pPr>
              <w:jc w:val="center"/>
              <w:rPr>
                <w:rFonts w:ascii="宋体"/>
                <w:szCs w:val="20"/>
              </w:rPr>
            </w:pPr>
            <w:r>
              <w:rPr>
                <w:rFonts w:ascii="宋体"/>
                <w:sz w:val="24"/>
              </w:rPr>
              <w:t>●</w:t>
            </w: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r>
              <w:rPr>
                <w:rFonts w:ascii="宋体"/>
                <w:sz w:val="24"/>
              </w:rPr>
              <w:t>●</w:t>
            </w: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22</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restart"/>
            <w:shd w:val="clear" w:color="auto" w:fill="auto"/>
          </w:tcPr>
          <w:p>
            <w:pPr>
              <w:pStyle w:val="235"/>
              <w:ind w:firstLine="0" w:firstLineChars="0"/>
              <w:jc w:val="center"/>
              <w:rPr>
                <w:sz w:val="18"/>
                <w:szCs w:val="16"/>
              </w:rPr>
            </w:pPr>
            <w:r>
              <w:rPr>
                <w:rFonts w:hint="eastAsia"/>
                <w:sz w:val="18"/>
                <w:szCs w:val="16"/>
              </w:rPr>
              <w:t>电商平台</w:t>
            </w:r>
          </w:p>
        </w:tc>
        <w:tc>
          <w:tcPr>
            <w:tcW w:w="2126" w:type="dxa"/>
            <w:shd w:val="clear" w:color="auto" w:fill="auto"/>
            <w:vAlign w:val="center"/>
          </w:tcPr>
          <w:p>
            <w:pPr>
              <w:pStyle w:val="235"/>
              <w:ind w:firstLine="0" w:firstLineChars="0"/>
              <w:jc w:val="center"/>
              <w:rPr>
                <w:sz w:val="18"/>
                <w:szCs w:val="16"/>
              </w:rPr>
            </w:pPr>
            <w:r>
              <w:rPr>
                <w:rFonts w:hint="eastAsia"/>
                <w:sz w:val="18"/>
                <w:szCs w:val="16"/>
              </w:rPr>
              <w:t>本地特惠</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23</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农特产品帮扶助销</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24</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restart"/>
            <w:shd w:val="clear" w:color="auto" w:fill="auto"/>
          </w:tcPr>
          <w:p>
            <w:pPr>
              <w:pStyle w:val="235"/>
              <w:ind w:firstLine="0" w:firstLineChars="0"/>
              <w:jc w:val="center"/>
              <w:rPr>
                <w:sz w:val="18"/>
                <w:szCs w:val="16"/>
              </w:rPr>
            </w:pPr>
            <w:r>
              <w:rPr>
                <w:rFonts w:hint="eastAsia"/>
                <w:sz w:val="18"/>
                <w:szCs w:val="16"/>
              </w:rPr>
              <w:t>智慧服务</w:t>
            </w:r>
          </w:p>
        </w:tc>
        <w:tc>
          <w:tcPr>
            <w:tcW w:w="2126" w:type="dxa"/>
            <w:shd w:val="clear" w:color="auto" w:fill="auto"/>
            <w:vAlign w:val="center"/>
          </w:tcPr>
          <w:p>
            <w:pPr>
              <w:pStyle w:val="235"/>
              <w:ind w:firstLine="0" w:firstLineChars="0"/>
              <w:jc w:val="center"/>
              <w:rPr>
                <w:sz w:val="18"/>
                <w:szCs w:val="16"/>
              </w:rPr>
            </w:pPr>
            <w:r>
              <w:rPr>
                <w:rFonts w:hint="eastAsia"/>
                <w:sz w:val="18"/>
                <w:szCs w:val="16"/>
              </w:rPr>
              <w:t>智慧大脑</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p>
        </w:tc>
        <w:tc>
          <w:tcPr>
            <w:tcW w:w="879" w:type="dxa"/>
            <w:shd w:val="clear" w:color="auto" w:fill="auto"/>
          </w:tcPr>
          <w:p>
            <w:pPr>
              <w:jc w:val="center"/>
              <w:rPr>
                <w:rFonts w:ascii="宋体"/>
                <w:szCs w:val="20"/>
              </w:rPr>
            </w:pP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r>
              <w:rPr>
                <w:rFonts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25</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智慧缴费</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Cs w:val="20"/>
              </w:rPr>
            </w:pP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26</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智慧购物</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Cs w:val="20"/>
              </w:rPr>
            </w:pP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27</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智慧交通</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p>
        </w:tc>
        <w:tc>
          <w:tcPr>
            <w:tcW w:w="879" w:type="dxa"/>
            <w:shd w:val="clear" w:color="auto" w:fill="auto"/>
          </w:tcPr>
          <w:p>
            <w:pPr>
              <w:jc w:val="center"/>
              <w:rPr>
                <w:rFonts w:ascii="宋体"/>
                <w:szCs w:val="20"/>
              </w:rPr>
            </w:pP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pPr>
            <w:r>
              <w:rPr>
                <w:rFonts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28</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智慧停车</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p>
        </w:tc>
        <w:tc>
          <w:tcPr>
            <w:tcW w:w="879" w:type="dxa"/>
            <w:shd w:val="clear" w:color="auto" w:fill="auto"/>
          </w:tcPr>
          <w:p>
            <w:pPr>
              <w:jc w:val="center"/>
              <w:rPr>
                <w:rFonts w:ascii="宋体"/>
                <w:szCs w:val="20"/>
              </w:rPr>
            </w:pP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pPr>
            <w:r>
              <w:rPr>
                <w:rFonts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pStyle w:val="235"/>
              <w:ind w:firstLine="0" w:firstLineChars="0"/>
              <w:jc w:val="center"/>
              <w:rPr>
                <w:sz w:val="18"/>
                <w:szCs w:val="16"/>
              </w:rPr>
            </w:pPr>
            <w:r>
              <w:rPr>
                <w:rFonts w:hint="eastAsia"/>
                <w:sz w:val="18"/>
                <w:szCs w:val="16"/>
              </w:rPr>
              <w:t>29</w:t>
            </w:r>
          </w:p>
        </w:tc>
        <w:tc>
          <w:tcPr>
            <w:tcW w:w="850" w:type="dxa"/>
            <w:vMerge w:val="continue"/>
            <w:shd w:val="clear" w:color="auto" w:fill="auto"/>
            <w:vAlign w:val="center"/>
          </w:tcPr>
          <w:p>
            <w:pPr>
              <w:pStyle w:val="235"/>
              <w:ind w:firstLine="0" w:firstLineChars="0"/>
              <w:jc w:val="center"/>
              <w:rPr>
                <w:sz w:val="18"/>
                <w:szCs w:val="16"/>
              </w:rPr>
            </w:pPr>
          </w:p>
        </w:tc>
        <w:tc>
          <w:tcPr>
            <w:tcW w:w="680" w:type="dxa"/>
            <w:vMerge w:val="continue"/>
            <w:shd w:val="clear" w:color="auto" w:fill="auto"/>
          </w:tcPr>
          <w:p>
            <w:pPr>
              <w:pStyle w:val="235"/>
              <w:ind w:firstLine="0" w:firstLineChars="0"/>
              <w:jc w:val="center"/>
              <w:rPr>
                <w:sz w:val="18"/>
                <w:szCs w:val="16"/>
              </w:rPr>
            </w:pPr>
          </w:p>
        </w:tc>
        <w:tc>
          <w:tcPr>
            <w:tcW w:w="2126" w:type="dxa"/>
            <w:shd w:val="clear" w:color="auto" w:fill="auto"/>
            <w:vAlign w:val="center"/>
          </w:tcPr>
          <w:p>
            <w:pPr>
              <w:pStyle w:val="235"/>
              <w:ind w:firstLine="0" w:firstLineChars="0"/>
              <w:jc w:val="center"/>
              <w:rPr>
                <w:sz w:val="18"/>
                <w:szCs w:val="16"/>
              </w:rPr>
            </w:pPr>
            <w:r>
              <w:rPr>
                <w:rFonts w:hint="eastAsia"/>
                <w:sz w:val="18"/>
                <w:szCs w:val="16"/>
              </w:rPr>
              <w:t>智慧导航</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Cs w:val="20"/>
              </w:rPr>
            </w:pP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bookmarkEnd w:id="252"/>
    </w:tbl>
    <w:p>
      <w:pPr>
        <w:pStyle w:val="58"/>
        <w:ind w:firstLine="420"/>
        <w:jc w:val="center"/>
        <w:rPr>
          <w:rFonts w:ascii="黑体" w:eastAsia="黑体"/>
          <w:kern w:val="21"/>
        </w:rPr>
      </w:pPr>
    </w:p>
    <w:p>
      <w:pPr>
        <w:pStyle w:val="58"/>
        <w:ind w:firstLine="420"/>
        <w:jc w:val="center"/>
        <w:rPr>
          <w:rFonts w:ascii="黑体" w:eastAsia="黑体"/>
          <w:kern w:val="21"/>
        </w:rPr>
      </w:pPr>
      <w:r>
        <w:rPr>
          <w:rFonts w:hint="eastAsia" w:ascii="黑体" w:eastAsia="黑体"/>
          <w:kern w:val="21"/>
        </w:rPr>
        <w:t>续表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0"/>
        <w:gridCol w:w="680"/>
        <w:gridCol w:w="2126"/>
        <w:gridCol w:w="851"/>
        <w:gridCol w:w="709"/>
        <w:gridCol w:w="879"/>
        <w:gridCol w:w="963"/>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vMerge w:val="restart"/>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序号</w:t>
            </w:r>
          </w:p>
        </w:tc>
        <w:tc>
          <w:tcPr>
            <w:tcW w:w="3656" w:type="dxa"/>
            <w:gridSpan w:val="3"/>
            <w:shd w:val="clear" w:color="auto" w:fill="auto"/>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未来乡村应用场景</w:t>
            </w:r>
          </w:p>
        </w:tc>
        <w:tc>
          <w:tcPr>
            <w:tcW w:w="5245" w:type="dxa"/>
            <w:gridSpan w:val="6"/>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广电各类载体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421" w:type="dxa"/>
            <w:vMerge w:val="continue"/>
            <w:shd w:val="clear" w:color="auto" w:fill="auto"/>
            <w:vAlign w:val="center"/>
          </w:tcPr>
          <w:p>
            <w:pPr>
              <w:widowControl/>
              <w:tabs>
                <w:tab w:val="center" w:pos="4201"/>
                <w:tab w:val="right" w:leader="dot" w:pos="9298"/>
              </w:tabs>
              <w:autoSpaceDE w:val="0"/>
              <w:autoSpaceDN w:val="0"/>
              <w:adjustRightInd/>
              <w:spacing w:line="240" w:lineRule="auto"/>
              <w:ind w:firstLine="360" w:firstLineChars="200"/>
              <w:jc w:val="center"/>
              <w:rPr>
                <w:rFonts w:ascii="宋体" w:hAnsi="Times New Roman"/>
                <w:kern w:val="0"/>
                <w:sz w:val="18"/>
                <w:szCs w:val="16"/>
              </w:rPr>
            </w:pPr>
          </w:p>
        </w:tc>
        <w:tc>
          <w:tcPr>
            <w:tcW w:w="850"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业务应用配置</w:t>
            </w:r>
          </w:p>
        </w:tc>
        <w:tc>
          <w:tcPr>
            <w:tcW w:w="2806" w:type="dxa"/>
            <w:gridSpan w:val="2"/>
            <w:shd w:val="clear" w:color="auto" w:fill="auto"/>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具体应用</w:t>
            </w:r>
          </w:p>
        </w:tc>
        <w:tc>
          <w:tcPr>
            <w:tcW w:w="851" w:type="dxa"/>
            <w:shd w:val="clear" w:color="auto" w:fill="auto"/>
            <w:vAlign w:val="center"/>
          </w:tcPr>
          <w:p>
            <w:pPr>
              <w:pStyle w:val="235"/>
              <w:ind w:firstLine="0" w:firstLineChars="0"/>
              <w:jc w:val="center"/>
              <w:rPr>
                <w:sz w:val="18"/>
                <w:szCs w:val="16"/>
              </w:rPr>
            </w:pPr>
            <w:r>
              <w:rPr>
                <w:rFonts w:hint="eastAsia"/>
                <w:sz w:val="18"/>
                <w:szCs w:val="16"/>
              </w:rPr>
              <w:t>广播电视</w:t>
            </w:r>
          </w:p>
        </w:tc>
        <w:tc>
          <w:tcPr>
            <w:tcW w:w="709" w:type="dxa"/>
            <w:shd w:val="clear" w:color="auto" w:fill="auto"/>
            <w:vAlign w:val="center"/>
          </w:tcPr>
          <w:p>
            <w:pPr>
              <w:pStyle w:val="235"/>
              <w:ind w:firstLine="0" w:firstLineChars="0"/>
              <w:jc w:val="center"/>
              <w:rPr>
                <w:sz w:val="18"/>
                <w:szCs w:val="16"/>
              </w:rPr>
            </w:pPr>
            <w:r>
              <w:rPr>
                <w:rFonts w:hint="eastAsia"/>
                <w:sz w:val="18"/>
                <w:szCs w:val="16"/>
              </w:rPr>
              <w:t>客户端</w:t>
            </w:r>
          </w:p>
        </w:tc>
        <w:tc>
          <w:tcPr>
            <w:tcW w:w="879" w:type="dxa"/>
            <w:shd w:val="clear" w:color="auto" w:fill="auto"/>
            <w:vAlign w:val="center"/>
          </w:tcPr>
          <w:p>
            <w:pPr>
              <w:pStyle w:val="235"/>
              <w:ind w:firstLine="0" w:firstLineChars="0"/>
              <w:jc w:val="center"/>
              <w:rPr>
                <w:sz w:val="18"/>
                <w:szCs w:val="16"/>
              </w:rPr>
            </w:pPr>
            <w:r>
              <w:rPr>
                <w:rFonts w:hint="eastAsia"/>
                <w:sz w:val="18"/>
                <w:szCs w:val="16"/>
              </w:rPr>
              <w:t>新媒体平台</w:t>
            </w:r>
          </w:p>
        </w:tc>
        <w:tc>
          <w:tcPr>
            <w:tcW w:w="963" w:type="dxa"/>
            <w:shd w:val="clear" w:color="auto" w:fill="auto"/>
          </w:tcPr>
          <w:p>
            <w:pPr>
              <w:pStyle w:val="235"/>
              <w:ind w:firstLine="0" w:firstLineChars="0"/>
              <w:jc w:val="center"/>
              <w:rPr>
                <w:sz w:val="18"/>
                <w:szCs w:val="16"/>
              </w:rPr>
            </w:pPr>
            <w:r>
              <w:rPr>
                <w:rFonts w:hint="eastAsia"/>
                <w:sz w:val="18"/>
                <w:szCs w:val="16"/>
              </w:rPr>
              <w:t>本地屏</w:t>
            </w:r>
          </w:p>
        </w:tc>
        <w:tc>
          <w:tcPr>
            <w:tcW w:w="993" w:type="dxa"/>
            <w:shd w:val="clear" w:color="auto" w:fill="auto"/>
          </w:tcPr>
          <w:p>
            <w:pPr>
              <w:pStyle w:val="235"/>
              <w:ind w:firstLine="0" w:firstLineChars="0"/>
              <w:jc w:val="center"/>
              <w:rPr>
                <w:sz w:val="18"/>
                <w:szCs w:val="16"/>
              </w:rPr>
            </w:pPr>
            <w:r>
              <w:rPr>
                <w:rFonts w:hint="eastAsia"/>
                <w:sz w:val="18"/>
                <w:szCs w:val="16"/>
              </w:rPr>
              <w:t>应急广播</w:t>
            </w:r>
          </w:p>
        </w:tc>
        <w:tc>
          <w:tcPr>
            <w:tcW w:w="850" w:type="dxa"/>
            <w:shd w:val="clear" w:color="auto" w:fill="auto"/>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新开发系统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ascii="宋体" w:hAnsi="Times New Roman"/>
                <w:kern w:val="0"/>
                <w:sz w:val="18"/>
                <w:szCs w:val="16"/>
              </w:rPr>
              <w:t>30</w:t>
            </w:r>
          </w:p>
        </w:tc>
        <w:tc>
          <w:tcPr>
            <w:tcW w:w="850" w:type="dxa"/>
            <w:vMerge w:val="restart"/>
            <w:shd w:val="clear" w:color="auto" w:fill="auto"/>
            <w:vAlign w:val="center"/>
          </w:tcPr>
          <w:p>
            <w:pPr>
              <w:widowControl/>
              <w:adjustRightInd/>
              <w:spacing w:before="156" w:beforeLines="50" w:after="156" w:afterLines="50" w:line="240" w:lineRule="auto"/>
              <w:jc w:val="center"/>
              <w:outlineLvl w:val="2"/>
              <w:rPr>
                <w:rFonts w:ascii="宋体" w:hAnsi="Times New Roman"/>
                <w:kern w:val="0"/>
                <w:sz w:val="18"/>
                <w:szCs w:val="16"/>
              </w:rPr>
            </w:pPr>
            <w:r>
              <w:rPr>
                <w:rFonts w:hint="eastAsia" w:ascii="宋体" w:hAnsi="Times New Roman"/>
                <w:kern w:val="0"/>
                <w:sz w:val="18"/>
                <w:szCs w:val="16"/>
              </w:rPr>
              <w:t>数字生态</w:t>
            </w:r>
          </w:p>
          <w:p>
            <w:pPr>
              <w:widowControl/>
              <w:tabs>
                <w:tab w:val="center" w:pos="4201"/>
                <w:tab w:val="right" w:leader="dot" w:pos="9298"/>
              </w:tabs>
              <w:autoSpaceDE w:val="0"/>
              <w:autoSpaceDN w:val="0"/>
              <w:adjustRightInd/>
              <w:spacing w:line="240" w:lineRule="auto"/>
              <w:ind w:firstLine="360" w:firstLineChars="200"/>
              <w:jc w:val="center"/>
              <w:rPr>
                <w:rFonts w:ascii="宋体" w:hAnsi="Times New Roman"/>
                <w:kern w:val="0"/>
                <w:sz w:val="18"/>
                <w:szCs w:val="16"/>
              </w:rPr>
            </w:pPr>
          </w:p>
        </w:tc>
        <w:tc>
          <w:tcPr>
            <w:tcW w:w="680" w:type="dxa"/>
            <w:vMerge w:val="restart"/>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垃圾分类</w:t>
            </w:r>
          </w:p>
        </w:tc>
        <w:tc>
          <w:tcPr>
            <w:tcW w:w="212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监控垃圾分类</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 w:val="24"/>
              </w:rPr>
            </w:pPr>
            <w:r>
              <w:rPr>
                <w:rFonts w:ascii="宋体"/>
                <w:sz w:val="24"/>
              </w:rPr>
              <w:t>●</w:t>
            </w:r>
          </w:p>
        </w:tc>
        <w:tc>
          <w:tcPr>
            <w:tcW w:w="879" w:type="dxa"/>
            <w:shd w:val="clear" w:color="auto" w:fill="auto"/>
          </w:tcPr>
          <w:p>
            <w:pPr>
              <w:jc w:val="center"/>
              <w:rPr>
                <w:rFonts w:ascii="宋体"/>
                <w:sz w:val="24"/>
              </w:rP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31</w:t>
            </w:r>
          </w:p>
        </w:tc>
        <w:tc>
          <w:tcPr>
            <w:tcW w:w="850" w:type="dxa"/>
            <w:vMerge w:val="continue"/>
            <w:shd w:val="clear" w:color="auto" w:fill="auto"/>
            <w:vAlign w:val="center"/>
          </w:tcPr>
          <w:p>
            <w:pPr>
              <w:widowControl/>
              <w:adjustRightInd/>
              <w:spacing w:before="156" w:beforeLines="50" w:after="156" w:afterLines="50" w:line="240" w:lineRule="auto"/>
              <w:jc w:val="center"/>
              <w:outlineLvl w:val="2"/>
              <w:rPr>
                <w:rFonts w:ascii="宋体" w:hAnsi="Times New Roman"/>
                <w:kern w:val="0"/>
                <w:sz w:val="18"/>
                <w:szCs w:val="16"/>
              </w:rPr>
            </w:pPr>
          </w:p>
        </w:tc>
        <w:tc>
          <w:tcPr>
            <w:tcW w:w="680" w:type="dxa"/>
            <w:vMerge w:val="continue"/>
            <w:shd w:val="clear" w:color="auto" w:fill="auto"/>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212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一户一码</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 w:val="24"/>
              </w:rPr>
            </w:pPr>
            <w:r>
              <w:rPr>
                <w:rFonts w:ascii="宋体"/>
                <w:sz w:val="24"/>
              </w:rPr>
              <w:t>●</w:t>
            </w:r>
          </w:p>
        </w:tc>
        <w:tc>
          <w:tcPr>
            <w:tcW w:w="879" w:type="dxa"/>
            <w:shd w:val="clear" w:color="auto" w:fill="auto"/>
          </w:tcPr>
          <w:p>
            <w:pPr>
              <w:jc w:val="center"/>
              <w:rPr>
                <w:rFonts w:ascii="宋体"/>
                <w:sz w:val="24"/>
              </w:rPr>
            </w:pPr>
            <w:r>
              <w:rPr>
                <w:rFonts w:ascii="宋体"/>
                <w:sz w:val="24"/>
              </w:rPr>
              <w:t>●</w:t>
            </w:r>
          </w:p>
        </w:tc>
        <w:tc>
          <w:tcPr>
            <w:tcW w:w="963" w:type="dxa"/>
            <w:shd w:val="clear" w:color="auto" w:fill="auto"/>
          </w:tcPr>
          <w:p>
            <w:pPr>
              <w:jc w:val="center"/>
              <w:rPr>
                <w:rFonts w:ascii="宋体"/>
                <w:sz w:val="24"/>
              </w:rPr>
            </w:pPr>
          </w:p>
        </w:tc>
        <w:tc>
          <w:tcPr>
            <w:tcW w:w="993" w:type="dxa"/>
            <w:shd w:val="clear" w:color="auto" w:fill="auto"/>
          </w:tcPr>
          <w:p>
            <w:pPr>
              <w:jc w:val="center"/>
              <w:rPr>
                <w:rFonts w:ascii="宋体"/>
                <w:sz w:val="24"/>
              </w:rPr>
            </w:pPr>
          </w:p>
        </w:tc>
        <w:tc>
          <w:tcPr>
            <w:tcW w:w="850" w:type="dxa"/>
            <w:shd w:val="clear" w:color="auto" w:fill="auto"/>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32</w:t>
            </w:r>
          </w:p>
        </w:tc>
        <w:tc>
          <w:tcPr>
            <w:tcW w:w="850" w:type="dxa"/>
            <w:vMerge w:val="continue"/>
            <w:shd w:val="clear" w:color="auto" w:fill="auto"/>
            <w:vAlign w:val="center"/>
          </w:tcPr>
          <w:p>
            <w:pPr>
              <w:widowControl/>
              <w:adjustRightInd/>
              <w:spacing w:before="156" w:beforeLines="50" w:after="156" w:afterLines="50" w:line="240" w:lineRule="auto"/>
              <w:jc w:val="center"/>
              <w:outlineLvl w:val="2"/>
              <w:rPr>
                <w:rFonts w:ascii="宋体" w:hAnsi="Times New Roman"/>
                <w:kern w:val="0"/>
                <w:sz w:val="18"/>
                <w:szCs w:val="16"/>
              </w:rPr>
            </w:pPr>
          </w:p>
        </w:tc>
        <w:tc>
          <w:tcPr>
            <w:tcW w:w="680" w:type="dxa"/>
            <w:vMerge w:val="continue"/>
            <w:shd w:val="clear" w:color="auto" w:fill="auto"/>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212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宣传垃圾分类</w:t>
            </w:r>
          </w:p>
        </w:tc>
        <w:tc>
          <w:tcPr>
            <w:tcW w:w="851" w:type="dxa"/>
            <w:shd w:val="clear" w:color="auto" w:fill="auto"/>
          </w:tcPr>
          <w:p>
            <w:pPr>
              <w:jc w:val="center"/>
              <w:rPr>
                <w:rFonts w:ascii="宋体"/>
                <w:szCs w:val="20"/>
              </w:rPr>
            </w:pPr>
            <w:r>
              <w:rPr>
                <w:rFonts w:ascii="宋体"/>
                <w:sz w:val="24"/>
              </w:rPr>
              <w:t>●</w:t>
            </w: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 w:val="24"/>
              </w:rPr>
            </w:pPr>
          </w:p>
        </w:tc>
        <w:tc>
          <w:tcPr>
            <w:tcW w:w="850" w:type="dxa"/>
            <w:shd w:val="clear" w:color="auto" w:fill="auto"/>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34</w:t>
            </w:r>
          </w:p>
        </w:tc>
        <w:tc>
          <w:tcPr>
            <w:tcW w:w="850" w:type="dxa"/>
            <w:vMerge w:val="continue"/>
            <w:shd w:val="clear" w:color="auto" w:fill="auto"/>
            <w:vAlign w:val="center"/>
          </w:tcPr>
          <w:p>
            <w:pPr>
              <w:widowControl/>
              <w:adjustRightInd/>
              <w:spacing w:before="156" w:beforeLines="50" w:after="156" w:afterLines="50" w:line="240" w:lineRule="auto"/>
              <w:jc w:val="center"/>
              <w:outlineLvl w:val="2"/>
              <w:rPr>
                <w:rFonts w:ascii="宋体" w:hAnsi="Times New Roman"/>
                <w:kern w:val="0"/>
                <w:sz w:val="18"/>
                <w:szCs w:val="16"/>
              </w:rPr>
            </w:pPr>
          </w:p>
        </w:tc>
        <w:tc>
          <w:tcPr>
            <w:tcW w:w="2806" w:type="dxa"/>
            <w:gridSpan w:val="2"/>
            <w:shd w:val="clear" w:color="auto" w:fill="auto"/>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生态循环</w:t>
            </w:r>
          </w:p>
        </w:tc>
        <w:tc>
          <w:tcPr>
            <w:tcW w:w="851" w:type="dxa"/>
            <w:shd w:val="clear" w:color="auto" w:fill="auto"/>
          </w:tcPr>
          <w:p>
            <w:pPr>
              <w:jc w:val="center"/>
              <w:rPr>
                <w:rFonts w:ascii="宋体"/>
                <w:sz w:val="24"/>
              </w:rPr>
            </w:pPr>
          </w:p>
        </w:tc>
        <w:tc>
          <w:tcPr>
            <w:tcW w:w="709" w:type="dxa"/>
            <w:shd w:val="clear" w:color="auto" w:fill="auto"/>
          </w:tcPr>
          <w:p>
            <w:pPr>
              <w:jc w:val="center"/>
              <w:rPr>
                <w:rFonts w:ascii="宋体"/>
                <w:sz w:val="24"/>
              </w:rPr>
            </w:pPr>
          </w:p>
        </w:tc>
        <w:tc>
          <w:tcPr>
            <w:tcW w:w="879" w:type="dxa"/>
            <w:shd w:val="clear" w:color="auto" w:fill="auto"/>
          </w:tcPr>
          <w:p>
            <w:pPr>
              <w:jc w:val="center"/>
              <w:rPr>
                <w:rFonts w:ascii="宋体"/>
                <w:sz w:val="24"/>
              </w:rPr>
            </w:pPr>
          </w:p>
        </w:tc>
        <w:tc>
          <w:tcPr>
            <w:tcW w:w="963" w:type="dxa"/>
            <w:shd w:val="clear" w:color="auto" w:fill="auto"/>
          </w:tcPr>
          <w:p>
            <w:pPr>
              <w:jc w:val="center"/>
              <w:rPr>
                <w:rFonts w:ascii="宋体"/>
                <w:sz w:val="24"/>
              </w:rPr>
            </w:pPr>
          </w:p>
        </w:tc>
        <w:tc>
          <w:tcPr>
            <w:tcW w:w="993" w:type="dxa"/>
            <w:shd w:val="clear" w:color="auto" w:fill="auto"/>
          </w:tcPr>
          <w:p>
            <w:pPr>
              <w:jc w:val="center"/>
              <w:rPr>
                <w:rFonts w:ascii="宋体"/>
                <w:sz w:val="24"/>
              </w:rPr>
            </w:pPr>
          </w:p>
        </w:tc>
        <w:tc>
          <w:tcPr>
            <w:tcW w:w="850" w:type="dxa"/>
            <w:shd w:val="clear" w:color="auto" w:fill="auto"/>
          </w:tcPr>
          <w:p>
            <w:pPr>
              <w:jc w:val="center"/>
              <w:rPr>
                <w:rFonts w:ascii="宋体"/>
                <w:sz w:val="24"/>
              </w:rPr>
            </w:pPr>
            <w:r>
              <w:rPr>
                <w:rFonts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35</w:t>
            </w:r>
          </w:p>
        </w:tc>
        <w:tc>
          <w:tcPr>
            <w:tcW w:w="850" w:type="dxa"/>
            <w:vMerge w:val="continue"/>
            <w:shd w:val="clear" w:color="auto" w:fill="auto"/>
            <w:vAlign w:val="center"/>
          </w:tcPr>
          <w:p>
            <w:pPr>
              <w:widowControl/>
              <w:adjustRightInd/>
              <w:spacing w:before="156" w:beforeLines="50" w:after="156" w:afterLines="50" w:line="240" w:lineRule="auto"/>
              <w:jc w:val="center"/>
              <w:outlineLvl w:val="2"/>
              <w:rPr>
                <w:rFonts w:ascii="宋体" w:hAnsi="Times New Roman"/>
                <w:kern w:val="0"/>
                <w:sz w:val="18"/>
                <w:szCs w:val="16"/>
              </w:rPr>
            </w:pPr>
          </w:p>
        </w:tc>
        <w:tc>
          <w:tcPr>
            <w:tcW w:w="2806" w:type="dxa"/>
            <w:gridSpan w:val="2"/>
            <w:shd w:val="clear" w:color="auto" w:fill="auto"/>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河道管理</w:t>
            </w:r>
          </w:p>
        </w:tc>
        <w:tc>
          <w:tcPr>
            <w:tcW w:w="851" w:type="dxa"/>
            <w:shd w:val="clear" w:color="auto" w:fill="auto"/>
          </w:tcPr>
          <w:p>
            <w:pPr>
              <w:jc w:val="center"/>
              <w:rPr>
                <w:rFonts w:ascii="宋体"/>
                <w:sz w:val="24"/>
              </w:rPr>
            </w:pPr>
          </w:p>
        </w:tc>
        <w:tc>
          <w:tcPr>
            <w:tcW w:w="709" w:type="dxa"/>
            <w:shd w:val="clear" w:color="auto" w:fill="auto"/>
          </w:tcPr>
          <w:p>
            <w:pPr>
              <w:jc w:val="center"/>
              <w:rPr>
                <w:rFonts w:ascii="宋体"/>
                <w:sz w:val="24"/>
              </w:rPr>
            </w:pPr>
          </w:p>
        </w:tc>
        <w:tc>
          <w:tcPr>
            <w:tcW w:w="879" w:type="dxa"/>
            <w:shd w:val="clear" w:color="auto" w:fill="auto"/>
          </w:tcPr>
          <w:p>
            <w:pPr>
              <w:jc w:val="center"/>
              <w:rPr>
                <w:rFonts w:ascii="宋体"/>
                <w:sz w:val="24"/>
              </w:rPr>
            </w:pPr>
          </w:p>
        </w:tc>
        <w:tc>
          <w:tcPr>
            <w:tcW w:w="963" w:type="dxa"/>
            <w:shd w:val="clear" w:color="auto" w:fill="auto"/>
          </w:tcPr>
          <w:p>
            <w:pPr>
              <w:jc w:val="center"/>
              <w:rPr>
                <w:rFonts w:ascii="宋体"/>
                <w:sz w:val="24"/>
              </w:rPr>
            </w:pPr>
          </w:p>
        </w:tc>
        <w:tc>
          <w:tcPr>
            <w:tcW w:w="993" w:type="dxa"/>
            <w:shd w:val="clear" w:color="auto" w:fill="auto"/>
          </w:tcPr>
          <w:p>
            <w:pPr>
              <w:jc w:val="center"/>
              <w:rPr>
                <w:rFonts w:ascii="宋体"/>
                <w:sz w:val="24"/>
              </w:rPr>
            </w:pPr>
          </w:p>
        </w:tc>
        <w:tc>
          <w:tcPr>
            <w:tcW w:w="850" w:type="dxa"/>
            <w:shd w:val="clear" w:color="auto" w:fill="auto"/>
          </w:tcPr>
          <w:p>
            <w:pPr>
              <w:jc w:val="center"/>
              <w:rPr>
                <w:rFonts w:ascii="宋体"/>
                <w:sz w:val="24"/>
              </w:rPr>
            </w:pPr>
            <w:r>
              <w:rPr>
                <w:rFonts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36</w:t>
            </w:r>
          </w:p>
        </w:tc>
        <w:tc>
          <w:tcPr>
            <w:tcW w:w="850" w:type="dxa"/>
            <w:vMerge w:val="continue"/>
            <w:shd w:val="clear" w:color="auto" w:fill="auto"/>
            <w:vAlign w:val="center"/>
          </w:tcPr>
          <w:p>
            <w:pPr>
              <w:widowControl/>
              <w:adjustRightInd/>
              <w:spacing w:before="156" w:beforeLines="50" w:after="156" w:afterLines="50" w:line="240" w:lineRule="auto"/>
              <w:jc w:val="center"/>
              <w:outlineLvl w:val="2"/>
              <w:rPr>
                <w:rFonts w:ascii="宋体" w:hAnsi="Times New Roman"/>
                <w:kern w:val="0"/>
                <w:sz w:val="18"/>
                <w:szCs w:val="16"/>
              </w:rPr>
            </w:pPr>
          </w:p>
        </w:tc>
        <w:tc>
          <w:tcPr>
            <w:tcW w:w="2806" w:type="dxa"/>
            <w:gridSpan w:val="2"/>
            <w:shd w:val="clear" w:color="auto" w:fill="auto"/>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水文信息管理</w:t>
            </w:r>
          </w:p>
        </w:tc>
        <w:tc>
          <w:tcPr>
            <w:tcW w:w="851" w:type="dxa"/>
            <w:shd w:val="clear" w:color="auto" w:fill="auto"/>
          </w:tcPr>
          <w:p>
            <w:pPr>
              <w:jc w:val="center"/>
              <w:rPr>
                <w:rFonts w:ascii="宋体"/>
                <w:sz w:val="24"/>
              </w:rPr>
            </w:pPr>
          </w:p>
        </w:tc>
        <w:tc>
          <w:tcPr>
            <w:tcW w:w="709" w:type="dxa"/>
            <w:shd w:val="clear" w:color="auto" w:fill="auto"/>
          </w:tcPr>
          <w:p>
            <w:pPr>
              <w:jc w:val="center"/>
              <w:rPr>
                <w:rFonts w:ascii="宋体"/>
                <w:sz w:val="24"/>
              </w:rPr>
            </w:pPr>
          </w:p>
        </w:tc>
        <w:tc>
          <w:tcPr>
            <w:tcW w:w="879" w:type="dxa"/>
            <w:shd w:val="clear" w:color="auto" w:fill="auto"/>
          </w:tcPr>
          <w:p>
            <w:pPr>
              <w:jc w:val="center"/>
              <w:rPr>
                <w:rFonts w:ascii="宋体"/>
                <w:sz w:val="24"/>
              </w:rPr>
            </w:pPr>
          </w:p>
        </w:tc>
        <w:tc>
          <w:tcPr>
            <w:tcW w:w="963" w:type="dxa"/>
            <w:shd w:val="clear" w:color="auto" w:fill="auto"/>
          </w:tcPr>
          <w:p>
            <w:pPr>
              <w:jc w:val="center"/>
              <w:rPr>
                <w:rFonts w:ascii="宋体"/>
                <w:sz w:val="24"/>
              </w:rPr>
            </w:pPr>
          </w:p>
        </w:tc>
        <w:tc>
          <w:tcPr>
            <w:tcW w:w="993" w:type="dxa"/>
            <w:shd w:val="clear" w:color="auto" w:fill="auto"/>
          </w:tcPr>
          <w:p>
            <w:pPr>
              <w:jc w:val="center"/>
              <w:rPr>
                <w:rFonts w:ascii="宋体"/>
                <w:sz w:val="24"/>
              </w:rPr>
            </w:pPr>
          </w:p>
        </w:tc>
        <w:tc>
          <w:tcPr>
            <w:tcW w:w="850" w:type="dxa"/>
            <w:shd w:val="clear" w:color="auto" w:fill="auto"/>
          </w:tcPr>
          <w:p>
            <w:pPr>
              <w:jc w:val="center"/>
              <w:rPr>
                <w:rFonts w:ascii="宋体"/>
                <w:sz w:val="24"/>
              </w:rPr>
            </w:pPr>
            <w:r>
              <w:rPr>
                <w:rFonts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37</w:t>
            </w:r>
          </w:p>
        </w:tc>
        <w:tc>
          <w:tcPr>
            <w:tcW w:w="850" w:type="dxa"/>
            <w:vMerge w:val="continue"/>
            <w:shd w:val="clear" w:color="auto" w:fill="auto"/>
            <w:vAlign w:val="center"/>
          </w:tcPr>
          <w:p>
            <w:pPr>
              <w:widowControl/>
              <w:adjustRightInd/>
              <w:spacing w:before="156" w:beforeLines="50" w:after="156" w:afterLines="50" w:line="240" w:lineRule="auto"/>
              <w:jc w:val="center"/>
              <w:outlineLvl w:val="2"/>
              <w:rPr>
                <w:rFonts w:ascii="宋体" w:hAnsi="Times New Roman"/>
                <w:kern w:val="0"/>
                <w:sz w:val="18"/>
                <w:szCs w:val="16"/>
              </w:rPr>
            </w:pPr>
          </w:p>
        </w:tc>
        <w:tc>
          <w:tcPr>
            <w:tcW w:w="2806" w:type="dxa"/>
            <w:gridSpan w:val="2"/>
            <w:shd w:val="clear" w:color="auto" w:fill="auto"/>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古树养护</w:t>
            </w:r>
          </w:p>
        </w:tc>
        <w:tc>
          <w:tcPr>
            <w:tcW w:w="851" w:type="dxa"/>
            <w:shd w:val="clear" w:color="auto" w:fill="auto"/>
          </w:tcPr>
          <w:p>
            <w:pPr>
              <w:jc w:val="center"/>
              <w:rPr>
                <w:rFonts w:ascii="宋体"/>
                <w:sz w:val="24"/>
              </w:rPr>
            </w:pPr>
          </w:p>
        </w:tc>
        <w:tc>
          <w:tcPr>
            <w:tcW w:w="709" w:type="dxa"/>
            <w:shd w:val="clear" w:color="auto" w:fill="auto"/>
          </w:tcPr>
          <w:p>
            <w:pPr>
              <w:jc w:val="center"/>
              <w:rPr>
                <w:rFonts w:ascii="宋体"/>
                <w:sz w:val="24"/>
              </w:rPr>
            </w:pPr>
          </w:p>
        </w:tc>
        <w:tc>
          <w:tcPr>
            <w:tcW w:w="879" w:type="dxa"/>
            <w:shd w:val="clear" w:color="auto" w:fill="auto"/>
          </w:tcPr>
          <w:p>
            <w:pPr>
              <w:jc w:val="center"/>
              <w:rPr>
                <w:rFonts w:ascii="宋体"/>
                <w:sz w:val="24"/>
              </w:rPr>
            </w:pPr>
          </w:p>
        </w:tc>
        <w:tc>
          <w:tcPr>
            <w:tcW w:w="963" w:type="dxa"/>
            <w:shd w:val="clear" w:color="auto" w:fill="auto"/>
          </w:tcPr>
          <w:p>
            <w:pPr>
              <w:jc w:val="center"/>
              <w:rPr>
                <w:rFonts w:ascii="宋体"/>
                <w:sz w:val="24"/>
              </w:rPr>
            </w:pPr>
          </w:p>
        </w:tc>
        <w:tc>
          <w:tcPr>
            <w:tcW w:w="993" w:type="dxa"/>
            <w:shd w:val="clear" w:color="auto" w:fill="auto"/>
          </w:tcPr>
          <w:p>
            <w:pPr>
              <w:jc w:val="center"/>
              <w:rPr>
                <w:rFonts w:ascii="宋体"/>
                <w:sz w:val="24"/>
              </w:rPr>
            </w:pPr>
          </w:p>
        </w:tc>
        <w:tc>
          <w:tcPr>
            <w:tcW w:w="850" w:type="dxa"/>
            <w:shd w:val="clear" w:color="auto" w:fill="auto"/>
          </w:tcPr>
          <w:p>
            <w:pPr>
              <w:jc w:val="center"/>
              <w:rPr>
                <w:rFonts w:ascii="宋体"/>
                <w:sz w:val="24"/>
              </w:rPr>
            </w:pPr>
            <w:r>
              <w:rPr>
                <w:rFonts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38</w:t>
            </w:r>
          </w:p>
        </w:tc>
        <w:tc>
          <w:tcPr>
            <w:tcW w:w="850" w:type="dxa"/>
            <w:vMerge w:val="restart"/>
            <w:shd w:val="clear" w:color="auto" w:fill="auto"/>
            <w:vAlign w:val="center"/>
          </w:tcPr>
          <w:p>
            <w:pPr>
              <w:widowControl/>
              <w:adjustRightInd/>
              <w:spacing w:before="156" w:beforeLines="50" w:after="156" w:afterLines="50" w:line="240" w:lineRule="auto"/>
              <w:jc w:val="center"/>
              <w:outlineLvl w:val="2"/>
              <w:rPr>
                <w:rFonts w:ascii="宋体" w:hAnsi="Times New Roman"/>
                <w:kern w:val="0"/>
                <w:sz w:val="18"/>
                <w:szCs w:val="16"/>
              </w:rPr>
            </w:pPr>
            <w:r>
              <w:rPr>
                <w:rFonts w:hint="eastAsia" w:ascii="宋体" w:hAnsi="Times New Roman"/>
                <w:kern w:val="0"/>
                <w:sz w:val="18"/>
                <w:szCs w:val="16"/>
              </w:rPr>
              <w:t>数字治理</w:t>
            </w:r>
          </w:p>
        </w:tc>
        <w:tc>
          <w:tcPr>
            <w:tcW w:w="2806" w:type="dxa"/>
            <w:gridSpan w:val="2"/>
            <w:shd w:val="clear" w:color="auto" w:fill="auto"/>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三务公开</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Cs w:val="20"/>
              </w:rPr>
            </w:pPr>
          </w:p>
        </w:tc>
        <w:tc>
          <w:tcPr>
            <w:tcW w:w="963" w:type="dxa"/>
            <w:shd w:val="clear" w:color="auto" w:fill="auto"/>
          </w:tcPr>
          <w:p>
            <w:pPr>
              <w:jc w:val="center"/>
              <w:rPr>
                <w:rFonts w:ascii="宋体"/>
                <w:szCs w:val="20"/>
              </w:rPr>
            </w:pPr>
            <w:r>
              <w:rPr>
                <w:rFonts w:ascii="宋体"/>
                <w:sz w:val="24"/>
              </w:rPr>
              <w:t>●</w:t>
            </w: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39</w:t>
            </w:r>
          </w:p>
        </w:tc>
        <w:tc>
          <w:tcPr>
            <w:tcW w:w="850" w:type="dxa"/>
            <w:vMerge w:val="continue"/>
            <w:shd w:val="clear" w:color="auto" w:fill="auto"/>
            <w:vAlign w:val="center"/>
          </w:tcPr>
          <w:p>
            <w:pPr>
              <w:widowControl/>
              <w:adjustRightInd/>
              <w:spacing w:before="156" w:beforeLines="50" w:after="156" w:afterLines="50" w:line="240" w:lineRule="auto"/>
              <w:jc w:val="center"/>
              <w:outlineLvl w:val="2"/>
              <w:rPr>
                <w:rFonts w:ascii="宋体" w:hAnsi="Times New Roman"/>
                <w:kern w:val="0"/>
                <w:sz w:val="18"/>
                <w:szCs w:val="16"/>
              </w:rPr>
            </w:pPr>
          </w:p>
        </w:tc>
        <w:tc>
          <w:tcPr>
            <w:tcW w:w="680" w:type="dxa"/>
            <w:vMerge w:val="restart"/>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基层治理</w:t>
            </w:r>
          </w:p>
        </w:tc>
        <w:tc>
          <w:tcPr>
            <w:tcW w:w="212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民情恳谈</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Cs w:val="20"/>
              </w:rP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40</w:t>
            </w:r>
          </w:p>
        </w:tc>
        <w:tc>
          <w:tcPr>
            <w:tcW w:w="850" w:type="dxa"/>
            <w:vMerge w:val="continue"/>
            <w:shd w:val="clear" w:color="auto" w:fill="auto"/>
            <w:vAlign w:val="center"/>
          </w:tcPr>
          <w:p>
            <w:pPr>
              <w:widowControl/>
              <w:adjustRightInd/>
              <w:spacing w:before="156" w:beforeLines="50" w:after="156" w:afterLines="50" w:line="240" w:lineRule="auto"/>
              <w:jc w:val="center"/>
              <w:outlineLvl w:val="2"/>
              <w:rPr>
                <w:rFonts w:ascii="宋体" w:hAnsi="Times New Roman"/>
                <w:kern w:val="0"/>
                <w:sz w:val="18"/>
                <w:szCs w:val="16"/>
              </w:rPr>
            </w:pPr>
          </w:p>
        </w:tc>
        <w:tc>
          <w:tcPr>
            <w:tcW w:w="680" w:type="dxa"/>
            <w:vMerge w:val="continue"/>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212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乡村求助爆料</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Cs w:val="20"/>
              </w:rP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41</w:t>
            </w:r>
          </w:p>
        </w:tc>
        <w:tc>
          <w:tcPr>
            <w:tcW w:w="850" w:type="dxa"/>
            <w:vMerge w:val="continue"/>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680" w:type="dxa"/>
            <w:vMerge w:val="continue"/>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212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公共安全监控</w:t>
            </w:r>
          </w:p>
        </w:tc>
        <w:tc>
          <w:tcPr>
            <w:tcW w:w="851" w:type="dxa"/>
            <w:shd w:val="clear" w:color="auto" w:fill="auto"/>
          </w:tcPr>
          <w:p>
            <w:pPr>
              <w:jc w:val="center"/>
              <w:rPr>
                <w:rFonts w:ascii="宋体"/>
                <w:sz w:val="24"/>
              </w:rPr>
            </w:pPr>
          </w:p>
        </w:tc>
        <w:tc>
          <w:tcPr>
            <w:tcW w:w="709" w:type="dxa"/>
            <w:shd w:val="clear" w:color="auto" w:fill="auto"/>
          </w:tcPr>
          <w:p>
            <w:pPr>
              <w:jc w:val="center"/>
              <w:rPr>
                <w:rFonts w:ascii="宋体"/>
                <w:sz w:val="24"/>
              </w:rPr>
            </w:pPr>
          </w:p>
        </w:tc>
        <w:tc>
          <w:tcPr>
            <w:tcW w:w="879" w:type="dxa"/>
            <w:shd w:val="clear" w:color="auto" w:fill="auto"/>
          </w:tcPr>
          <w:p>
            <w:pPr>
              <w:jc w:val="center"/>
              <w:rPr>
                <w:rFonts w:ascii="宋体"/>
                <w:sz w:val="24"/>
              </w:rPr>
            </w:pPr>
          </w:p>
        </w:tc>
        <w:tc>
          <w:tcPr>
            <w:tcW w:w="963" w:type="dxa"/>
            <w:shd w:val="clear" w:color="auto" w:fill="auto"/>
          </w:tcPr>
          <w:p>
            <w:pPr>
              <w:jc w:val="center"/>
              <w:rPr>
                <w:rFonts w:ascii="宋体"/>
                <w:sz w:val="24"/>
              </w:rPr>
            </w:pPr>
          </w:p>
        </w:tc>
        <w:tc>
          <w:tcPr>
            <w:tcW w:w="993" w:type="dxa"/>
            <w:shd w:val="clear" w:color="auto" w:fill="auto"/>
          </w:tcPr>
          <w:p>
            <w:pPr>
              <w:jc w:val="center"/>
              <w:rPr>
                <w:rFonts w:ascii="宋体"/>
                <w:sz w:val="24"/>
              </w:rPr>
            </w:pPr>
          </w:p>
        </w:tc>
        <w:tc>
          <w:tcPr>
            <w:tcW w:w="850" w:type="dxa"/>
            <w:shd w:val="clear" w:color="auto" w:fill="auto"/>
          </w:tcPr>
          <w:p>
            <w:pPr>
              <w:jc w:val="center"/>
              <w:rPr>
                <w:rFonts w:ascii="宋体"/>
                <w:sz w:val="24"/>
              </w:rPr>
            </w:pPr>
            <w:r>
              <w:rPr>
                <w:rFonts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ascii="宋体" w:hAnsi="Times New Roman"/>
                <w:kern w:val="0"/>
                <w:sz w:val="18"/>
                <w:szCs w:val="16"/>
              </w:rPr>
              <w:t>42</w:t>
            </w:r>
          </w:p>
        </w:tc>
        <w:tc>
          <w:tcPr>
            <w:tcW w:w="850" w:type="dxa"/>
            <w:vMerge w:val="continue"/>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680" w:type="dxa"/>
            <w:vMerge w:val="continue"/>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212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社会治理综合信息指挥中心</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p>
        </w:tc>
        <w:tc>
          <w:tcPr>
            <w:tcW w:w="879" w:type="dxa"/>
            <w:shd w:val="clear" w:color="auto" w:fill="auto"/>
          </w:tcPr>
          <w:p>
            <w:pPr>
              <w:jc w:val="center"/>
              <w:rPr>
                <w:rFonts w:ascii="宋体"/>
                <w:sz w:val="24"/>
              </w:rPr>
            </w:pPr>
          </w:p>
        </w:tc>
        <w:tc>
          <w:tcPr>
            <w:tcW w:w="963" w:type="dxa"/>
            <w:shd w:val="clear" w:color="auto" w:fill="auto"/>
          </w:tcPr>
          <w:p>
            <w:pPr>
              <w:jc w:val="center"/>
              <w:rPr>
                <w:rFonts w:ascii="宋体"/>
                <w:sz w:val="24"/>
              </w:rPr>
            </w:pPr>
          </w:p>
        </w:tc>
        <w:tc>
          <w:tcPr>
            <w:tcW w:w="993" w:type="dxa"/>
            <w:shd w:val="clear" w:color="auto" w:fill="auto"/>
          </w:tcPr>
          <w:p>
            <w:pPr>
              <w:jc w:val="center"/>
              <w:rPr>
                <w:rFonts w:ascii="宋体"/>
                <w:sz w:val="24"/>
              </w:rPr>
            </w:pPr>
          </w:p>
        </w:tc>
        <w:tc>
          <w:tcPr>
            <w:tcW w:w="850" w:type="dxa"/>
            <w:shd w:val="clear" w:color="auto" w:fill="auto"/>
          </w:tcPr>
          <w:p>
            <w:pPr>
              <w:jc w:val="center"/>
              <w:rPr>
                <w:rFonts w:ascii="宋体"/>
                <w:sz w:val="24"/>
              </w:rPr>
            </w:pPr>
            <w:r>
              <w:rPr>
                <w:rFonts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43</w:t>
            </w:r>
          </w:p>
        </w:tc>
        <w:tc>
          <w:tcPr>
            <w:tcW w:w="850" w:type="dxa"/>
            <w:vMerge w:val="continue"/>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680" w:type="dxa"/>
            <w:vMerge w:val="continue"/>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212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清廉乡村系统</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 w:val="24"/>
              </w:rPr>
            </w:pPr>
          </w:p>
        </w:tc>
        <w:tc>
          <w:tcPr>
            <w:tcW w:w="963" w:type="dxa"/>
            <w:shd w:val="clear" w:color="auto" w:fill="auto"/>
          </w:tcPr>
          <w:p>
            <w:pPr>
              <w:jc w:val="center"/>
              <w:rPr>
                <w:rFonts w:ascii="宋体"/>
                <w:sz w:val="24"/>
              </w:rPr>
            </w:pPr>
          </w:p>
        </w:tc>
        <w:tc>
          <w:tcPr>
            <w:tcW w:w="993" w:type="dxa"/>
            <w:shd w:val="clear" w:color="auto" w:fill="auto"/>
          </w:tcPr>
          <w:p>
            <w:pPr>
              <w:jc w:val="center"/>
              <w:rPr>
                <w:rFonts w:ascii="宋体"/>
                <w:sz w:val="24"/>
              </w:rPr>
            </w:pPr>
          </w:p>
        </w:tc>
        <w:tc>
          <w:tcPr>
            <w:tcW w:w="850" w:type="dxa"/>
            <w:shd w:val="clear" w:color="auto" w:fill="auto"/>
          </w:tcPr>
          <w:p>
            <w:pPr>
              <w:jc w:val="center"/>
              <w:rPr>
                <w:rFonts w:ascii="宋体"/>
                <w:sz w:val="24"/>
              </w:rPr>
            </w:pPr>
            <w:r>
              <w:rPr>
                <w:rFonts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ascii="宋体" w:hAnsi="Times New Roman"/>
                <w:kern w:val="0"/>
                <w:sz w:val="18"/>
                <w:szCs w:val="16"/>
              </w:rPr>
              <w:t>44</w:t>
            </w:r>
          </w:p>
        </w:tc>
        <w:tc>
          <w:tcPr>
            <w:tcW w:w="850" w:type="dxa"/>
            <w:vMerge w:val="continue"/>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680" w:type="dxa"/>
            <w:vMerge w:val="restart"/>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文明诚信</w:t>
            </w:r>
          </w:p>
        </w:tc>
        <w:tc>
          <w:tcPr>
            <w:tcW w:w="212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文明诚信档案</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Cs w:val="20"/>
              </w:rPr>
            </w:pPr>
          </w:p>
        </w:tc>
        <w:tc>
          <w:tcPr>
            <w:tcW w:w="963" w:type="dxa"/>
            <w:shd w:val="clear" w:color="auto" w:fill="auto"/>
          </w:tcPr>
          <w:p>
            <w:pPr>
              <w:jc w:val="center"/>
              <w:rPr>
                <w:rFonts w:ascii="宋体"/>
                <w:sz w:val="24"/>
              </w:rPr>
            </w:pPr>
          </w:p>
        </w:tc>
        <w:tc>
          <w:tcPr>
            <w:tcW w:w="993" w:type="dxa"/>
            <w:shd w:val="clear" w:color="auto" w:fill="auto"/>
          </w:tcPr>
          <w:p>
            <w:pPr>
              <w:jc w:val="center"/>
              <w:rPr>
                <w:rFonts w:ascii="宋体"/>
                <w:sz w:val="24"/>
              </w:rPr>
            </w:pPr>
          </w:p>
        </w:tc>
        <w:tc>
          <w:tcPr>
            <w:tcW w:w="850" w:type="dxa"/>
            <w:shd w:val="clear" w:color="auto" w:fill="auto"/>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45</w:t>
            </w:r>
          </w:p>
        </w:tc>
        <w:tc>
          <w:tcPr>
            <w:tcW w:w="850" w:type="dxa"/>
            <w:vMerge w:val="continue"/>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680" w:type="dxa"/>
            <w:vMerge w:val="continue"/>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212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乡村数字诚信</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 w:val="24"/>
              </w:rPr>
            </w:pPr>
          </w:p>
        </w:tc>
        <w:tc>
          <w:tcPr>
            <w:tcW w:w="963" w:type="dxa"/>
            <w:shd w:val="clear" w:color="auto" w:fill="auto"/>
          </w:tcPr>
          <w:p>
            <w:pPr>
              <w:jc w:val="center"/>
              <w:rPr>
                <w:rFonts w:ascii="宋体"/>
                <w:sz w:val="24"/>
              </w:rPr>
            </w:pPr>
          </w:p>
        </w:tc>
        <w:tc>
          <w:tcPr>
            <w:tcW w:w="993" w:type="dxa"/>
            <w:shd w:val="clear" w:color="auto" w:fill="auto"/>
          </w:tcPr>
          <w:p>
            <w:pPr>
              <w:jc w:val="center"/>
              <w:rPr>
                <w:rFonts w:ascii="宋体"/>
                <w:sz w:val="24"/>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46</w:t>
            </w:r>
          </w:p>
        </w:tc>
        <w:tc>
          <w:tcPr>
            <w:tcW w:w="850" w:type="dxa"/>
            <w:vMerge w:val="continue"/>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680" w:type="dxa"/>
            <w:vMerge w:val="restart"/>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信访投诉</w:t>
            </w:r>
          </w:p>
        </w:tc>
        <w:tc>
          <w:tcPr>
            <w:tcW w:w="212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云上律师服务</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Cs w:val="20"/>
              </w:rPr>
            </w:pPr>
          </w:p>
        </w:tc>
        <w:tc>
          <w:tcPr>
            <w:tcW w:w="963" w:type="dxa"/>
            <w:shd w:val="clear" w:color="auto" w:fill="auto"/>
          </w:tcPr>
          <w:p>
            <w:pPr>
              <w:jc w:val="center"/>
              <w:rPr>
                <w:rFonts w:ascii="宋体"/>
                <w:sz w:val="24"/>
              </w:rPr>
            </w:pPr>
          </w:p>
        </w:tc>
        <w:tc>
          <w:tcPr>
            <w:tcW w:w="993" w:type="dxa"/>
            <w:shd w:val="clear" w:color="auto" w:fill="auto"/>
          </w:tcPr>
          <w:p>
            <w:pPr>
              <w:jc w:val="center"/>
              <w:rPr>
                <w:rFonts w:ascii="宋体"/>
                <w:sz w:val="24"/>
              </w:rPr>
            </w:pPr>
          </w:p>
        </w:tc>
        <w:tc>
          <w:tcPr>
            <w:tcW w:w="850" w:type="dxa"/>
            <w:shd w:val="clear" w:color="auto" w:fill="auto"/>
          </w:tcPr>
          <w:p>
            <w:pPr>
              <w:jc w:val="center"/>
              <w:rPr>
                <w:rFonts w:ascii="宋体"/>
                <w:sz w:val="24"/>
              </w:rPr>
            </w:pPr>
            <w:r>
              <w:rPr>
                <w:rFonts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47</w:t>
            </w:r>
          </w:p>
        </w:tc>
        <w:tc>
          <w:tcPr>
            <w:tcW w:w="850" w:type="dxa"/>
            <w:vMerge w:val="continue"/>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680" w:type="dxa"/>
            <w:vMerge w:val="continue"/>
            <w:shd w:val="clear" w:color="auto" w:fill="auto"/>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212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民生百问</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Cs w:val="20"/>
              </w:rPr>
            </w:pP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21"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48</w:t>
            </w:r>
          </w:p>
        </w:tc>
        <w:tc>
          <w:tcPr>
            <w:tcW w:w="850" w:type="dxa"/>
            <w:vMerge w:val="continue"/>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680" w:type="dxa"/>
            <w:vMerge w:val="continue"/>
            <w:shd w:val="clear" w:color="auto" w:fill="auto"/>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p>
        </w:tc>
        <w:tc>
          <w:tcPr>
            <w:tcW w:w="2126" w:type="dxa"/>
            <w:shd w:val="clear" w:color="auto" w:fill="auto"/>
            <w:vAlign w:val="center"/>
          </w:tcPr>
          <w:p>
            <w:pPr>
              <w:widowControl/>
              <w:tabs>
                <w:tab w:val="center" w:pos="4201"/>
                <w:tab w:val="right" w:leader="dot" w:pos="9298"/>
              </w:tabs>
              <w:autoSpaceDE w:val="0"/>
              <w:autoSpaceDN w:val="0"/>
              <w:adjustRightInd/>
              <w:spacing w:line="240" w:lineRule="auto"/>
              <w:jc w:val="center"/>
              <w:rPr>
                <w:rFonts w:ascii="宋体" w:hAnsi="Times New Roman"/>
                <w:kern w:val="0"/>
                <w:sz w:val="18"/>
                <w:szCs w:val="16"/>
              </w:rPr>
            </w:pPr>
            <w:r>
              <w:rPr>
                <w:rFonts w:hint="eastAsia" w:ascii="宋体" w:hAnsi="Times New Roman"/>
                <w:kern w:val="0"/>
                <w:sz w:val="18"/>
                <w:szCs w:val="16"/>
              </w:rPr>
              <w:t>在线投诉,公开公示信息</w:t>
            </w:r>
          </w:p>
        </w:tc>
        <w:tc>
          <w:tcPr>
            <w:tcW w:w="851" w:type="dxa"/>
            <w:shd w:val="clear" w:color="auto" w:fill="auto"/>
          </w:tcPr>
          <w:p>
            <w:pPr>
              <w:jc w:val="center"/>
              <w:rPr>
                <w:rFonts w:ascii="宋体"/>
                <w:szCs w:val="20"/>
              </w:rPr>
            </w:pPr>
          </w:p>
        </w:tc>
        <w:tc>
          <w:tcPr>
            <w:tcW w:w="709" w:type="dxa"/>
            <w:shd w:val="clear" w:color="auto" w:fill="auto"/>
          </w:tcPr>
          <w:p>
            <w:pPr>
              <w:jc w:val="center"/>
              <w:rPr>
                <w:rFonts w:ascii="宋体"/>
                <w:szCs w:val="20"/>
              </w:rPr>
            </w:pPr>
            <w:r>
              <w:rPr>
                <w:rFonts w:ascii="宋体"/>
                <w:sz w:val="24"/>
              </w:rPr>
              <w:t>●</w:t>
            </w:r>
          </w:p>
        </w:tc>
        <w:tc>
          <w:tcPr>
            <w:tcW w:w="879" w:type="dxa"/>
            <w:shd w:val="clear" w:color="auto" w:fill="auto"/>
          </w:tcPr>
          <w:p>
            <w:pPr>
              <w:jc w:val="center"/>
              <w:rPr>
                <w:rFonts w:ascii="宋体"/>
                <w:szCs w:val="20"/>
              </w:rPr>
            </w:pPr>
            <w:r>
              <w:rPr>
                <w:rFonts w:ascii="宋体"/>
                <w:sz w:val="24"/>
              </w:rPr>
              <w:t>●</w:t>
            </w:r>
          </w:p>
        </w:tc>
        <w:tc>
          <w:tcPr>
            <w:tcW w:w="963" w:type="dxa"/>
            <w:shd w:val="clear" w:color="auto" w:fill="auto"/>
          </w:tcPr>
          <w:p>
            <w:pPr>
              <w:jc w:val="center"/>
              <w:rPr>
                <w:rFonts w:ascii="宋体"/>
                <w:szCs w:val="20"/>
              </w:rPr>
            </w:pPr>
          </w:p>
        </w:tc>
        <w:tc>
          <w:tcPr>
            <w:tcW w:w="993" w:type="dxa"/>
            <w:shd w:val="clear" w:color="auto" w:fill="auto"/>
          </w:tcPr>
          <w:p>
            <w:pPr>
              <w:jc w:val="center"/>
              <w:rPr>
                <w:rFonts w:ascii="宋体"/>
                <w:szCs w:val="20"/>
              </w:rPr>
            </w:pPr>
          </w:p>
        </w:tc>
        <w:tc>
          <w:tcPr>
            <w:tcW w:w="850" w:type="dxa"/>
            <w:shd w:val="clear" w:color="auto" w:fill="auto"/>
          </w:tcPr>
          <w:p>
            <w:pPr>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322" w:type="dxa"/>
            <w:gridSpan w:val="10"/>
            <w:shd w:val="clear" w:color="auto" w:fill="auto"/>
          </w:tcPr>
          <w:p>
            <w:pPr>
              <w:numPr>
                <w:ilvl w:val="0"/>
                <w:numId w:val="27"/>
              </w:numPr>
              <w:autoSpaceDE w:val="0"/>
              <w:autoSpaceDN w:val="0"/>
              <w:adjustRightInd/>
              <w:spacing w:line="240" w:lineRule="auto"/>
              <w:rPr>
                <w:rFonts w:ascii="宋体" w:hAnsi="Times New Roman"/>
                <w:kern w:val="0"/>
                <w:sz w:val="18"/>
                <w:szCs w:val="18"/>
              </w:rPr>
            </w:pPr>
            <w:r>
              <w:rPr>
                <w:rFonts w:ascii="宋体" w:hAnsi="Times New Roman"/>
                <w:kern w:val="0"/>
                <w:sz w:val="18"/>
                <w:szCs w:val="18"/>
              </w:rPr>
              <w:t>“</w:t>
            </w:r>
            <w:r>
              <w:rPr>
                <w:rFonts w:ascii="宋体" w:hAnsi="Times New Roman"/>
                <w:kern w:val="0"/>
              </w:rPr>
              <w:t>●</w:t>
            </w:r>
            <w:r>
              <w:rPr>
                <w:rFonts w:ascii="宋体" w:hAnsi="Times New Roman"/>
                <w:kern w:val="0"/>
                <w:sz w:val="18"/>
                <w:szCs w:val="18"/>
              </w:rPr>
              <w:t>”表示</w:t>
            </w:r>
            <w:r>
              <w:rPr>
                <w:rFonts w:hint="eastAsia" w:ascii="宋体" w:hAnsi="Times New Roman"/>
                <w:kern w:val="0"/>
                <w:sz w:val="18"/>
                <w:szCs w:val="18"/>
              </w:rPr>
              <w:t>具体应用通过的广电载体</w:t>
            </w:r>
            <w:r>
              <w:rPr>
                <w:rFonts w:ascii="宋体" w:hAnsi="Times New Roman"/>
                <w:kern w:val="0"/>
                <w:sz w:val="18"/>
                <w:szCs w:val="18"/>
              </w:rPr>
              <w:t>。</w:t>
            </w:r>
          </w:p>
          <w:p>
            <w:pPr>
              <w:numPr>
                <w:ilvl w:val="0"/>
                <w:numId w:val="27"/>
              </w:numPr>
              <w:autoSpaceDE w:val="0"/>
              <w:autoSpaceDN w:val="0"/>
              <w:adjustRightInd/>
              <w:spacing w:line="240" w:lineRule="auto"/>
              <w:rPr>
                <w:rFonts w:ascii="宋体" w:hAnsi="Times New Roman"/>
                <w:kern w:val="0"/>
                <w:sz w:val="18"/>
                <w:szCs w:val="18"/>
              </w:rPr>
            </w:pPr>
            <w:r>
              <w:rPr>
                <w:rFonts w:ascii="宋体" w:hAnsi="Times New Roman"/>
                <w:kern w:val="0"/>
                <w:sz w:val="18"/>
                <w:szCs w:val="18"/>
              </w:rPr>
              <w:t>具体要求见本标准第</w:t>
            </w:r>
            <w:r>
              <w:rPr>
                <w:rFonts w:hint="eastAsia" w:ascii="宋体" w:hAnsi="Times New Roman"/>
                <w:kern w:val="0"/>
                <w:sz w:val="18"/>
                <w:szCs w:val="18"/>
              </w:rPr>
              <w:t>6-10</w:t>
            </w:r>
            <w:r>
              <w:rPr>
                <w:rFonts w:ascii="宋体" w:hAnsi="Times New Roman"/>
                <w:kern w:val="0"/>
                <w:sz w:val="18"/>
                <w:szCs w:val="18"/>
              </w:rPr>
              <w:t>章的内容。</w:t>
            </w:r>
          </w:p>
          <w:p>
            <w:pPr>
              <w:autoSpaceDE w:val="0"/>
              <w:autoSpaceDN w:val="0"/>
              <w:adjustRightInd/>
              <w:spacing w:line="240" w:lineRule="auto"/>
              <w:ind w:left="363"/>
              <w:rPr>
                <w:rFonts w:ascii="宋体" w:hAnsi="Times New Roman"/>
                <w:kern w:val="0"/>
                <w:sz w:val="18"/>
                <w:szCs w:val="18"/>
              </w:rPr>
            </w:pPr>
          </w:p>
        </w:tc>
      </w:tr>
    </w:tbl>
    <w:p>
      <w:pPr>
        <w:pStyle w:val="58"/>
        <w:ind w:firstLine="0" w:firstLineChars="0"/>
      </w:pPr>
    </w:p>
    <w:bookmarkEnd w:id="249"/>
    <w:p>
      <w:pPr>
        <w:pStyle w:val="58"/>
        <w:ind w:firstLine="0" w:firstLineChars="0"/>
        <w:jc w:val="center"/>
      </w:pPr>
      <w:bookmarkStart w:id="253"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53"/>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3305/T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3305/T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2694"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color w:val="auto"/>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egdrnGXZl6Fy9yPGVFnuOtetRdZquFwUD4fLBfmDW/ZRpqNI5XBHKm7KhLQF29BQxqlt+hCiE9/2PFMZ6NcNDg==" w:salt="zobpe7sxddRqMj9o1S/Bp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DB"/>
    <w:rsid w:val="0000040A"/>
    <w:rsid w:val="00000A94"/>
    <w:rsid w:val="00001972"/>
    <w:rsid w:val="00001D9A"/>
    <w:rsid w:val="00007B3A"/>
    <w:rsid w:val="00010564"/>
    <w:rsid w:val="000107E0"/>
    <w:rsid w:val="00011FDE"/>
    <w:rsid w:val="00012908"/>
    <w:rsid w:val="00012FFD"/>
    <w:rsid w:val="00014162"/>
    <w:rsid w:val="00014340"/>
    <w:rsid w:val="000154A8"/>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7B0"/>
    <w:rsid w:val="000556ED"/>
    <w:rsid w:val="00055FE2"/>
    <w:rsid w:val="0005616F"/>
    <w:rsid w:val="00060C2E"/>
    <w:rsid w:val="00061033"/>
    <w:rsid w:val="000619E9"/>
    <w:rsid w:val="00062160"/>
    <w:rsid w:val="000622D4"/>
    <w:rsid w:val="000629AC"/>
    <w:rsid w:val="0006357D"/>
    <w:rsid w:val="00067F1E"/>
    <w:rsid w:val="00071CC0"/>
    <w:rsid w:val="00073C8C"/>
    <w:rsid w:val="00077B64"/>
    <w:rsid w:val="00077E03"/>
    <w:rsid w:val="00080A1C"/>
    <w:rsid w:val="00082317"/>
    <w:rsid w:val="00083D2C"/>
    <w:rsid w:val="00086AA1"/>
    <w:rsid w:val="00087A77"/>
    <w:rsid w:val="00090CA6"/>
    <w:rsid w:val="00092B8A"/>
    <w:rsid w:val="00092FB0"/>
    <w:rsid w:val="000934C5"/>
    <w:rsid w:val="00093D25"/>
    <w:rsid w:val="00093DAB"/>
    <w:rsid w:val="00094D73"/>
    <w:rsid w:val="00096727"/>
    <w:rsid w:val="00096D63"/>
    <w:rsid w:val="000A0B60"/>
    <w:rsid w:val="000A0EB8"/>
    <w:rsid w:val="000A19FC"/>
    <w:rsid w:val="000A296B"/>
    <w:rsid w:val="000A62BC"/>
    <w:rsid w:val="000A7311"/>
    <w:rsid w:val="000B060F"/>
    <w:rsid w:val="000B1592"/>
    <w:rsid w:val="000B1FF2"/>
    <w:rsid w:val="000B3CDA"/>
    <w:rsid w:val="000B6A0B"/>
    <w:rsid w:val="000C0F6C"/>
    <w:rsid w:val="000C11DB"/>
    <w:rsid w:val="000C1492"/>
    <w:rsid w:val="000C2FBD"/>
    <w:rsid w:val="000C4B41"/>
    <w:rsid w:val="000C50E7"/>
    <w:rsid w:val="000C57D6"/>
    <w:rsid w:val="000C6362"/>
    <w:rsid w:val="000C7666"/>
    <w:rsid w:val="000D0A9C"/>
    <w:rsid w:val="000D1795"/>
    <w:rsid w:val="000D329A"/>
    <w:rsid w:val="000D4B9C"/>
    <w:rsid w:val="000D4EB6"/>
    <w:rsid w:val="000D6429"/>
    <w:rsid w:val="000D753B"/>
    <w:rsid w:val="000E0B06"/>
    <w:rsid w:val="000E24DE"/>
    <w:rsid w:val="000E4C9E"/>
    <w:rsid w:val="000E5D7F"/>
    <w:rsid w:val="000E6FD7"/>
    <w:rsid w:val="000F06E1"/>
    <w:rsid w:val="000F0E3C"/>
    <w:rsid w:val="000F19D5"/>
    <w:rsid w:val="000F4AEA"/>
    <w:rsid w:val="000F633F"/>
    <w:rsid w:val="000F67E9"/>
    <w:rsid w:val="00104926"/>
    <w:rsid w:val="00113B1E"/>
    <w:rsid w:val="0011469E"/>
    <w:rsid w:val="001159F3"/>
    <w:rsid w:val="0011711C"/>
    <w:rsid w:val="0012059C"/>
    <w:rsid w:val="00122B3F"/>
    <w:rsid w:val="001233E9"/>
    <w:rsid w:val="001239CF"/>
    <w:rsid w:val="00124A4C"/>
    <w:rsid w:val="00124E4F"/>
    <w:rsid w:val="001260B7"/>
    <w:rsid w:val="001265CB"/>
    <w:rsid w:val="001321C6"/>
    <w:rsid w:val="001325C4"/>
    <w:rsid w:val="00133010"/>
    <w:rsid w:val="001338EE"/>
    <w:rsid w:val="00133AAE"/>
    <w:rsid w:val="00135323"/>
    <w:rsid w:val="001356C4"/>
    <w:rsid w:val="00136B93"/>
    <w:rsid w:val="00141114"/>
    <w:rsid w:val="00142969"/>
    <w:rsid w:val="001446C2"/>
    <w:rsid w:val="001457E7"/>
    <w:rsid w:val="00145D9D"/>
    <w:rsid w:val="00146388"/>
    <w:rsid w:val="001464BB"/>
    <w:rsid w:val="00147A76"/>
    <w:rsid w:val="00150089"/>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385"/>
    <w:rsid w:val="00166B88"/>
    <w:rsid w:val="0016770A"/>
    <w:rsid w:val="00170804"/>
    <w:rsid w:val="001708E9"/>
    <w:rsid w:val="0017340B"/>
    <w:rsid w:val="00173700"/>
    <w:rsid w:val="00173FB1"/>
    <w:rsid w:val="00176DFD"/>
    <w:rsid w:val="00180054"/>
    <w:rsid w:val="001852C9"/>
    <w:rsid w:val="00186C09"/>
    <w:rsid w:val="00190087"/>
    <w:rsid w:val="001913C4"/>
    <w:rsid w:val="00192481"/>
    <w:rsid w:val="0019348F"/>
    <w:rsid w:val="00193A07"/>
    <w:rsid w:val="00194C95"/>
    <w:rsid w:val="00195C34"/>
    <w:rsid w:val="00196EF5"/>
    <w:rsid w:val="001A1A53"/>
    <w:rsid w:val="001A234A"/>
    <w:rsid w:val="001A4CF3"/>
    <w:rsid w:val="001B06E8"/>
    <w:rsid w:val="001B56C0"/>
    <w:rsid w:val="001B71D0"/>
    <w:rsid w:val="001B71EE"/>
    <w:rsid w:val="001C00B1"/>
    <w:rsid w:val="001C034A"/>
    <w:rsid w:val="001C04A8"/>
    <w:rsid w:val="001C1E84"/>
    <w:rsid w:val="001C2C03"/>
    <w:rsid w:val="001C42F7"/>
    <w:rsid w:val="001C49E5"/>
    <w:rsid w:val="001C680C"/>
    <w:rsid w:val="001C7FEA"/>
    <w:rsid w:val="001D0499"/>
    <w:rsid w:val="001D0BBE"/>
    <w:rsid w:val="001D0ED4"/>
    <w:rsid w:val="001D212F"/>
    <w:rsid w:val="001D2204"/>
    <w:rsid w:val="001D29D7"/>
    <w:rsid w:val="001D2DE7"/>
    <w:rsid w:val="001D411C"/>
    <w:rsid w:val="001D4AFC"/>
    <w:rsid w:val="001E1B6A"/>
    <w:rsid w:val="001E2484"/>
    <w:rsid w:val="001E3CC4"/>
    <w:rsid w:val="001E4882"/>
    <w:rsid w:val="001E5717"/>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0C0"/>
    <w:rsid w:val="00210B15"/>
    <w:rsid w:val="00211099"/>
    <w:rsid w:val="0021285A"/>
    <w:rsid w:val="002142EA"/>
    <w:rsid w:val="002204BB"/>
    <w:rsid w:val="00221B79"/>
    <w:rsid w:val="00221C6B"/>
    <w:rsid w:val="002249B7"/>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00A"/>
    <w:rsid w:val="002543F1"/>
    <w:rsid w:val="0026148A"/>
    <w:rsid w:val="00261AF6"/>
    <w:rsid w:val="00262696"/>
    <w:rsid w:val="00263D25"/>
    <w:rsid w:val="002643C3"/>
    <w:rsid w:val="00264A0C"/>
    <w:rsid w:val="00266903"/>
    <w:rsid w:val="00266EEB"/>
    <w:rsid w:val="00267EF4"/>
    <w:rsid w:val="00270CB8"/>
    <w:rsid w:val="00270F52"/>
    <w:rsid w:val="00272B08"/>
    <w:rsid w:val="00281BB8"/>
    <w:rsid w:val="00281E9E"/>
    <w:rsid w:val="00282405"/>
    <w:rsid w:val="00285170"/>
    <w:rsid w:val="00285361"/>
    <w:rsid w:val="00287FA2"/>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348"/>
    <w:rsid w:val="002C7EBB"/>
    <w:rsid w:val="002D01EE"/>
    <w:rsid w:val="002D05DC"/>
    <w:rsid w:val="002D06C1"/>
    <w:rsid w:val="002D42B5"/>
    <w:rsid w:val="002D4F1A"/>
    <w:rsid w:val="002D6EC6"/>
    <w:rsid w:val="002D79AC"/>
    <w:rsid w:val="002D7C3F"/>
    <w:rsid w:val="002E039D"/>
    <w:rsid w:val="002E0E9E"/>
    <w:rsid w:val="002E3649"/>
    <w:rsid w:val="002E4D5A"/>
    <w:rsid w:val="002E6326"/>
    <w:rsid w:val="002F19E7"/>
    <w:rsid w:val="002F30E0"/>
    <w:rsid w:val="002F35E4"/>
    <w:rsid w:val="002F3730"/>
    <w:rsid w:val="002F38E1"/>
    <w:rsid w:val="002F7AF6"/>
    <w:rsid w:val="00300E63"/>
    <w:rsid w:val="00302F5F"/>
    <w:rsid w:val="003031BE"/>
    <w:rsid w:val="0030441D"/>
    <w:rsid w:val="00306063"/>
    <w:rsid w:val="00306FA7"/>
    <w:rsid w:val="0031147E"/>
    <w:rsid w:val="00313B85"/>
    <w:rsid w:val="00317988"/>
    <w:rsid w:val="003221B4"/>
    <w:rsid w:val="0032258D"/>
    <w:rsid w:val="00322E62"/>
    <w:rsid w:val="00324D13"/>
    <w:rsid w:val="00324D2A"/>
    <w:rsid w:val="00324EDD"/>
    <w:rsid w:val="003310E3"/>
    <w:rsid w:val="003331E4"/>
    <w:rsid w:val="00336C64"/>
    <w:rsid w:val="00337162"/>
    <w:rsid w:val="00341519"/>
    <w:rsid w:val="0034194F"/>
    <w:rsid w:val="003431FC"/>
    <w:rsid w:val="00344605"/>
    <w:rsid w:val="00345C53"/>
    <w:rsid w:val="003474AA"/>
    <w:rsid w:val="00350D1D"/>
    <w:rsid w:val="00352C83"/>
    <w:rsid w:val="00356E7F"/>
    <w:rsid w:val="003615D2"/>
    <w:rsid w:val="0036429C"/>
    <w:rsid w:val="00364A53"/>
    <w:rsid w:val="00364A98"/>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6B"/>
    <w:rsid w:val="0039118F"/>
    <w:rsid w:val="00391545"/>
    <w:rsid w:val="00392AD7"/>
    <w:rsid w:val="003938D9"/>
    <w:rsid w:val="00394065"/>
    <w:rsid w:val="00394376"/>
    <w:rsid w:val="003943FF"/>
    <w:rsid w:val="00395700"/>
    <w:rsid w:val="003974EB"/>
    <w:rsid w:val="00397CC5"/>
    <w:rsid w:val="003A1582"/>
    <w:rsid w:val="003A4077"/>
    <w:rsid w:val="003B09AD"/>
    <w:rsid w:val="003B18AC"/>
    <w:rsid w:val="003B1F18"/>
    <w:rsid w:val="003B5BF0"/>
    <w:rsid w:val="003B60BF"/>
    <w:rsid w:val="003B6BE3"/>
    <w:rsid w:val="003C007D"/>
    <w:rsid w:val="003C010C"/>
    <w:rsid w:val="003C0A6C"/>
    <w:rsid w:val="003C14F8"/>
    <w:rsid w:val="003C5A43"/>
    <w:rsid w:val="003C6545"/>
    <w:rsid w:val="003D0519"/>
    <w:rsid w:val="003D0FF6"/>
    <w:rsid w:val="003D262C"/>
    <w:rsid w:val="003D4A1D"/>
    <w:rsid w:val="003D6D61"/>
    <w:rsid w:val="003E091D"/>
    <w:rsid w:val="003E1C53"/>
    <w:rsid w:val="003E2A69"/>
    <w:rsid w:val="003E2D49"/>
    <w:rsid w:val="003E2FD4"/>
    <w:rsid w:val="003E3B33"/>
    <w:rsid w:val="003E49F6"/>
    <w:rsid w:val="003E660F"/>
    <w:rsid w:val="003F0841"/>
    <w:rsid w:val="003F23D3"/>
    <w:rsid w:val="003F2930"/>
    <w:rsid w:val="003F3F08"/>
    <w:rsid w:val="003F49F1"/>
    <w:rsid w:val="003F54EB"/>
    <w:rsid w:val="003F6272"/>
    <w:rsid w:val="0040092C"/>
    <w:rsid w:val="00400E72"/>
    <w:rsid w:val="00401400"/>
    <w:rsid w:val="00404869"/>
    <w:rsid w:val="00405884"/>
    <w:rsid w:val="004077F0"/>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7D75"/>
    <w:rsid w:val="004814E5"/>
    <w:rsid w:val="00481C44"/>
    <w:rsid w:val="004831DE"/>
    <w:rsid w:val="00484936"/>
    <w:rsid w:val="00485C89"/>
    <w:rsid w:val="004865F9"/>
    <w:rsid w:val="00486BE3"/>
    <w:rsid w:val="00487F0B"/>
    <w:rsid w:val="004905E4"/>
    <w:rsid w:val="00490A89"/>
    <w:rsid w:val="00490AB4"/>
    <w:rsid w:val="00492F02"/>
    <w:rsid w:val="004939AE"/>
    <w:rsid w:val="004A0E46"/>
    <w:rsid w:val="004A12DF"/>
    <w:rsid w:val="004A17E6"/>
    <w:rsid w:val="004A1BA8"/>
    <w:rsid w:val="004A292C"/>
    <w:rsid w:val="004A4B57"/>
    <w:rsid w:val="004A63FA"/>
    <w:rsid w:val="004B0272"/>
    <w:rsid w:val="004B2701"/>
    <w:rsid w:val="004B2E1B"/>
    <w:rsid w:val="004B3008"/>
    <w:rsid w:val="004B3AA8"/>
    <w:rsid w:val="004B3E93"/>
    <w:rsid w:val="004B42E4"/>
    <w:rsid w:val="004B6C6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353"/>
    <w:rsid w:val="004F391A"/>
    <w:rsid w:val="004F3CFB"/>
    <w:rsid w:val="004F6456"/>
    <w:rsid w:val="004F696E"/>
    <w:rsid w:val="004F6C71"/>
    <w:rsid w:val="004F7616"/>
    <w:rsid w:val="00500420"/>
    <w:rsid w:val="00501139"/>
    <w:rsid w:val="0050363E"/>
    <w:rsid w:val="005039BC"/>
    <w:rsid w:val="005043BB"/>
    <w:rsid w:val="00504A3D"/>
    <w:rsid w:val="00505767"/>
    <w:rsid w:val="005073F0"/>
    <w:rsid w:val="00510A7B"/>
    <w:rsid w:val="00512F6E"/>
    <w:rsid w:val="00513038"/>
    <w:rsid w:val="00514174"/>
    <w:rsid w:val="00514F84"/>
    <w:rsid w:val="00515308"/>
    <w:rsid w:val="00516088"/>
    <w:rsid w:val="00516B0B"/>
    <w:rsid w:val="00516FCF"/>
    <w:rsid w:val="005220EC"/>
    <w:rsid w:val="00523F95"/>
    <w:rsid w:val="00524D65"/>
    <w:rsid w:val="00525B16"/>
    <w:rsid w:val="00533D04"/>
    <w:rsid w:val="0053434E"/>
    <w:rsid w:val="00534804"/>
    <w:rsid w:val="00534BDF"/>
    <w:rsid w:val="005354EA"/>
    <w:rsid w:val="00535714"/>
    <w:rsid w:val="0053585F"/>
    <w:rsid w:val="00535EC4"/>
    <w:rsid w:val="00535ED9"/>
    <w:rsid w:val="0053692B"/>
    <w:rsid w:val="00541853"/>
    <w:rsid w:val="00543BDA"/>
    <w:rsid w:val="005441CC"/>
    <w:rsid w:val="005479DA"/>
    <w:rsid w:val="00547BCC"/>
    <w:rsid w:val="0055013B"/>
    <w:rsid w:val="005512A7"/>
    <w:rsid w:val="00551F6F"/>
    <w:rsid w:val="00555044"/>
    <w:rsid w:val="00556229"/>
    <w:rsid w:val="00561475"/>
    <w:rsid w:val="0056487B"/>
    <w:rsid w:val="00564BA5"/>
    <w:rsid w:val="00564FB9"/>
    <w:rsid w:val="0057255D"/>
    <w:rsid w:val="0057279A"/>
    <w:rsid w:val="00573D9E"/>
    <w:rsid w:val="00574FCE"/>
    <w:rsid w:val="005801E3"/>
    <w:rsid w:val="00581802"/>
    <w:rsid w:val="00582F44"/>
    <w:rsid w:val="005836A8"/>
    <w:rsid w:val="0058409C"/>
    <w:rsid w:val="00584262"/>
    <w:rsid w:val="00586630"/>
    <w:rsid w:val="00587ADD"/>
    <w:rsid w:val="00590B8A"/>
    <w:rsid w:val="00591E27"/>
    <w:rsid w:val="00596160"/>
    <w:rsid w:val="005966E2"/>
    <w:rsid w:val="00597007"/>
    <w:rsid w:val="005A0966"/>
    <w:rsid w:val="005A11B7"/>
    <w:rsid w:val="005A260B"/>
    <w:rsid w:val="005A2B3D"/>
    <w:rsid w:val="005A4779"/>
    <w:rsid w:val="005A4A1B"/>
    <w:rsid w:val="005A7830"/>
    <w:rsid w:val="005A7FCE"/>
    <w:rsid w:val="005B0F3F"/>
    <w:rsid w:val="005B2529"/>
    <w:rsid w:val="005B4903"/>
    <w:rsid w:val="005B51CE"/>
    <w:rsid w:val="005B5885"/>
    <w:rsid w:val="005B5CD7"/>
    <w:rsid w:val="005B6CF6"/>
    <w:rsid w:val="005B7422"/>
    <w:rsid w:val="005C29B8"/>
    <w:rsid w:val="005C5F21"/>
    <w:rsid w:val="005C7156"/>
    <w:rsid w:val="005D0C75"/>
    <w:rsid w:val="005D15C8"/>
    <w:rsid w:val="005D4171"/>
    <w:rsid w:val="005D6A95"/>
    <w:rsid w:val="005D6B2C"/>
    <w:rsid w:val="005D6D9C"/>
    <w:rsid w:val="005E2335"/>
    <w:rsid w:val="005E34CA"/>
    <w:rsid w:val="005E3C18"/>
    <w:rsid w:val="005E4D27"/>
    <w:rsid w:val="005E6812"/>
    <w:rsid w:val="005E7881"/>
    <w:rsid w:val="005E78E0"/>
    <w:rsid w:val="005F0D9C"/>
    <w:rsid w:val="005F284E"/>
    <w:rsid w:val="005F3E87"/>
    <w:rsid w:val="005F4712"/>
    <w:rsid w:val="006015CE"/>
    <w:rsid w:val="00604784"/>
    <w:rsid w:val="00606419"/>
    <w:rsid w:val="00607D29"/>
    <w:rsid w:val="00612952"/>
    <w:rsid w:val="00614CC1"/>
    <w:rsid w:val="00615A9D"/>
    <w:rsid w:val="00617387"/>
    <w:rsid w:val="006205D6"/>
    <w:rsid w:val="006252D8"/>
    <w:rsid w:val="006259BC"/>
    <w:rsid w:val="006260E4"/>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2BD1"/>
    <w:rsid w:val="00653FED"/>
    <w:rsid w:val="00654EC0"/>
    <w:rsid w:val="00654EE9"/>
    <w:rsid w:val="0065525B"/>
    <w:rsid w:val="00655D4F"/>
    <w:rsid w:val="00656D29"/>
    <w:rsid w:val="006640E5"/>
    <w:rsid w:val="006646F1"/>
    <w:rsid w:val="00664929"/>
    <w:rsid w:val="00664F62"/>
    <w:rsid w:val="006655E1"/>
    <w:rsid w:val="00672060"/>
    <w:rsid w:val="00672BFD"/>
    <w:rsid w:val="006770F4"/>
    <w:rsid w:val="00677A84"/>
    <w:rsid w:val="00677C46"/>
    <w:rsid w:val="0068026D"/>
    <w:rsid w:val="00680A27"/>
    <w:rsid w:val="006816A4"/>
    <w:rsid w:val="006819B8"/>
    <w:rsid w:val="006840A6"/>
    <w:rsid w:val="006850CD"/>
    <w:rsid w:val="00685AAB"/>
    <w:rsid w:val="00687FD4"/>
    <w:rsid w:val="00695D22"/>
    <w:rsid w:val="006A07AA"/>
    <w:rsid w:val="006A22A6"/>
    <w:rsid w:val="006A25E5"/>
    <w:rsid w:val="006A2B46"/>
    <w:rsid w:val="006A336D"/>
    <w:rsid w:val="006A37B9"/>
    <w:rsid w:val="006B2672"/>
    <w:rsid w:val="006B54BF"/>
    <w:rsid w:val="006B5F44"/>
    <w:rsid w:val="006B5F90"/>
    <w:rsid w:val="006B62E4"/>
    <w:rsid w:val="006C11C9"/>
    <w:rsid w:val="006C1BBA"/>
    <w:rsid w:val="006C2079"/>
    <w:rsid w:val="006C3CD3"/>
    <w:rsid w:val="006C5A62"/>
    <w:rsid w:val="006C5D68"/>
    <w:rsid w:val="006C6976"/>
    <w:rsid w:val="006C6DD0"/>
    <w:rsid w:val="006C7FC1"/>
    <w:rsid w:val="006D04EA"/>
    <w:rsid w:val="006D16C4"/>
    <w:rsid w:val="006D3E96"/>
    <w:rsid w:val="006D4515"/>
    <w:rsid w:val="006D4BB1"/>
    <w:rsid w:val="006D6593"/>
    <w:rsid w:val="006E23EA"/>
    <w:rsid w:val="006F03A8"/>
    <w:rsid w:val="006F0B34"/>
    <w:rsid w:val="006F2ACA"/>
    <w:rsid w:val="006F2ADC"/>
    <w:rsid w:val="006F2BFE"/>
    <w:rsid w:val="006F31E9"/>
    <w:rsid w:val="006F6284"/>
    <w:rsid w:val="007002C5"/>
    <w:rsid w:val="007016C4"/>
    <w:rsid w:val="00703CA0"/>
    <w:rsid w:val="00704054"/>
    <w:rsid w:val="00704387"/>
    <w:rsid w:val="00707669"/>
    <w:rsid w:val="007104F0"/>
    <w:rsid w:val="00711CBA"/>
    <w:rsid w:val="00711FB5"/>
    <w:rsid w:val="00712A01"/>
    <w:rsid w:val="00714F58"/>
    <w:rsid w:val="007204FE"/>
    <w:rsid w:val="00722FBF"/>
    <w:rsid w:val="00722FC2"/>
    <w:rsid w:val="00724879"/>
    <w:rsid w:val="00724E1B"/>
    <w:rsid w:val="00725949"/>
    <w:rsid w:val="00727FA2"/>
    <w:rsid w:val="007322D9"/>
    <w:rsid w:val="00732BC0"/>
    <w:rsid w:val="0073720F"/>
    <w:rsid w:val="00737796"/>
    <w:rsid w:val="0074165C"/>
    <w:rsid w:val="00741746"/>
    <w:rsid w:val="00741998"/>
    <w:rsid w:val="0074258A"/>
    <w:rsid w:val="00742C35"/>
    <w:rsid w:val="007432CA"/>
    <w:rsid w:val="007439EB"/>
    <w:rsid w:val="00743CB4"/>
    <w:rsid w:val="00743F0A"/>
    <w:rsid w:val="007444E8"/>
    <w:rsid w:val="00744EFC"/>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51F"/>
    <w:rsid w:val="00780A60"/>
    <w:rsid w:val="0078114B"/>
    <w:rsid w:val="00781DD2"/>
    <w:rsid w:val="00783ECF"/>
    <w:rsid w:val="00784014"/>
    <w:rsid w:val="0078413A"/>
    <w:rsid w:val="00785D9C"/>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2F79"/>
    <w:rsid w:val="007C4593"/>
    <w:rsid w:val="007C5309"/>
    <w:rsid w:val="007C6069"/>
    <w:rsid w:val="007D06C4"/>
    <w:rsid w:val="007D1352"/>
    <w:rsid w:val="007D2508"/>
    <w:rsid w:val="007D299D"/>
    <w:rsid w:val="007D2D2E"/>
    <w:rsid w:val="007D346A"/>
    <w:rsid w:val="007D58D2"/>
    <w:rsid w:val="007D6518"/>
    <w:rsid w:val="007D6C1D"/>
    <w:rsid w:val="007D76BD"/>
    <w:rsid w:val="007E0BF1"/>
    <w:rsid w:val="007F0ED8"/>
    <w:rsid w:val="007F0F63"/>
    <w:rsid w:val="007F196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F2B"/>
    <w:rsid w:val="00856316"/>
    <w:rsid w:val="008603CE"/>
    <w:rsid w:val="008620FC"/>
    <w:rsid w:val="008627A5"/>
    <w:rsid w:val="00863E05"/>
    <w:rsid w:val="00865ACA"/>
    <w:rsid w:val="00865D28"/>
    <w:rsid w:val="00865F85"/>
    <w:rsid w:val="00867C10"/>
    <w:rsid w:val="00870439"/>
    <w:rsid w:val="00870DA1"/>
    <w:rsid w:val="008754B0"/>
    <w:rsid w:val="008824AC"/>
    <w:rsid w:val="00883F93"/>
    <w:rsid w:val="00884DB3"/>
    <w:rsid w:val="00885628"/>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89A"/>
    <w:rsid w:val="008A57E6"/>
    <w:rsid w:val="008A6F81"/>
    <w:rsid w:val="008A769A"/>
    <w:rsid w:val="008B0C9C"/>
    <w:rsid w:val="008B166D"/>
    <w:rsid w:val="008B17F4"/>
    <w:rsid w:val="008B18B1"/>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1EC"/>
    <w:rsid w:val="008E2319"/>
    <w:rsid w:val="008E4BB6"/>
    <w:rsid w:val="008E4C86"/>
    <w:rsid w:val="008E5518"/>
    <w:rsid w:val="008E6A84"/>
    <w:rsid w:val="008F0CDC"/>
    <w:rsid w:val="008F17A3"/>
    <w:rsid w:val="008F1ED3"/>
    <w:rsid w:val="008F23A5"/>
    <w:rsid w:val="008F4C29"/>
    <w:rsid w:val="008F5633"/>
    <w:rsid w:val="008F65F1"/>
    <w:rsid w:val="008F70BD"/>
    <w:rsid w:val="008F788F"/>
    <w:rsid w:val="008F7EA2"/>
    <w:rsid w:val="00902722"/>
    <w:rsid w:val="009027BC"/>
    <w:rsid w:val="0090473E"/>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7EE2"/>
    <w:rsid w:val="00953604"/>
    <w:rsid w:val="0095496B"/>
    <w:rsid w:val="009555F7"/>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1447"/>
    <w:rsid w:val="009D21E1"/>
    <w:rsid w:val="009D47FA"/>
    <w:rsid w:val="009D4C5B"/>
    <w:rsid w:val="009D50D2"/>
    <w:rsid w:val="009D6BCA"/>
    <w:rsid w:val="009E0F62"/>
    <w:rsid w:val="009E1944"/>
    <w:rsid w:val="009E4A58"/>
    <w:rsid w:val="009E5A2D"/>
    <w:rsid w:val="009E5AB2"/>
    <w:rsid w:val="009E6219"/>
    <w:rsid w:val="009F03B3"/>
    <w:rsid w:val="00A0059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C70"/>
    <w:rsid w:val="00A30EFC"/>
    <w:rsid w:val="00A31984"/>
    <w:rsid w:val="00A32D73"/>
    <w:rsid w:val="00A3367B"/>
    <w:rsid w:val="00A343A6"/>
    <w:rsid w:val="00A3597D"/>
    <w:rsid w:val="00A36DD1"/>
    <w:rsid w:val="00A4006C"/>
    <w:rsid w:val="00A40091"/>
    <w:rsid w:val="00A4030F"/>
    <w:rsid w:val="00A41C79"/>
    <w:rsid w:val="00A41CB5"/>
    <w:rsid w:val="00A41CFD"/>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35D8"/>
    <w:rsid w:val="00AB41D5"/>
    <w:rsid w:val="00AB4E47"/>
    <w:rsid w:val="00AB50F1"/>
    <w:rsid w:val="00AB6309"/>
    <w:rsid w:val="00AB6C5F"/>
    <w:rsid w:val="00AB7129"/>
    <w:rsid w:val="00AC27A6"/>
    <w:rsid w:val="00AC30F7"/>
    <w:rsid w:val="00AC3A5A"/>
    <w:rsid w:val="00AC4D95"/>
    <w:rsid w:val="00AC5DF4"/>
    <w:rsid w:val="00AD0AEF"/>
    <w:rsid w:val="00AD11B7"/>
    <w:rsid w:val="00AD1A94"/>
    <w:rsid w:val="00AD1C05"/>
    <w:rsid w:val="00AD2839"/>
    <w:rsid w:val="00AD4126"/>
    <w:rsid w:val="00AD421C"/>
    <w:rsid w:val="00AD44FA"/>
    <w:rsid w:val="00AE070A"/>
    <w:rsid w:val="00AE101C"/>
    <w:rsid w:val="00AE37E5"/>
    <w:rsid w:val="00AE5EB4"/>
    <w:rsid w:val="00AF0C18"/>
    <w:rsid w:val="00AF47C5"/>
    <w:rsid w:val="00AF5398"/>
    <w:rsid w:val="00B030F2"/>
    <w:rsid w:val="00B049AF"/>
    <w:rsid w:val="00B07242"/>
    <w:rsid w:val="00B10534"/>
    <w:rsid w:val="00B113DB"/>
    <w:rsid w:val="00B11D8A"/>
    <w:rsid w:val="00B12981"/>
    <w:rsid w:val="00B147DD"/>
    <w:rsid w:val="00B156FD"/>
    <w:rsid w:val="00B21A64"/>
    <w:rsid w:val="00B21F61"/>
    <w:rsid w:val="00B261F1"/>
    <w:rsid w:val="00B265BC"/>
    <w:rsid w:val="00B31FB1"/>
    <w:rsid w:val="00B33952"/>
    <w:rsid w:val="00B33C5E"/>
    <w:rsid w:val="00B342F4"/>
    <w:rsid w:val="00B34369"/>
    <w:rsid w:val="00B34DC2"/>
    <w:rsid w:val="00B374BB"/>
    <w:rsid w:val="00B378E5"/>
    <w:rsid w:val="00B42603"/>
    <w:rsid w:val="00B4346D"/>
    <w:rsid w:val="00B440F4"/>
    <w:rsid w:val="00B447A5"/>
    <w:rsid w:val="00B4654C"/>
    <w:rsid w:val="00B47293"/>
    <w:rsid w:val="00B50E50"/>
    <w:rsid w:val="00B510DB"/>
    <w:rsid w:val="00B52120"/>
    <w:rsid w:val="00B54ABC"/>
    <w:rsid w:val="00B54DDE"/>
    <w:rsid w:val="00B56FBE"/>
    <w:rsid w:val="00B60ACF"/>
    <w:rsid w:val="00B61EFE"/>
    <w:rsid w:val="00B621FF"/>
    <w:rsid w:val="00B6265E"/>
    <w:rsid w:val="00B62B58"/>
    <w:rsid w:val="00B62CAF"/>
    <w:rsid w:val="00B65149"/>
    <w:rsid w:val="00B66567"/>
    <w:rsid w:val="00B66F52"/>
    <w:rsid w:val="00B66FE5"/>
    <w:rsid w:val="00B72880"/>
    <w:rsid w:val="00B758BF"/>
    <w:rsid w:val="00B7694A"/>
    <w:rsid w:val="00B77EC8"/>
    <w:rsid w:val="00B827A6"/>
    <w:rsid w:val="00B831CE"/>
    <w:rsid w:val="00B86677"/>
    <w:rsid w:val="00B87131"/>
    <w:rsid w:val="00B939B1"/>
    <w:rsid w:val="00B96D40"/>
    <w:rsid w:val="00B97386"/>
    <w:rsid w:val="00BA263B"/>
    <w:rsid w:val="00BA30FE"/>
    <w:rsid w:val="00BA42B2"/>
    <w:rsid w:val="00BA58D4"/>
    <w:rsid w:val="00BA5B9E"/>
    <w:rsid w:val="00BA5E0C"/>
    <w:rsid w:val="00BA668A"/>
    <w:rsid w:val="00BA7C9A"/>
    <w:rsid w:val="00BB5F8F"/>
    <w:rsid w:val="00BB657A"/>
    <w:rsid w:val="00BB754F"/>
    <w:rsid w:val="00BC1A4E"/>
    <w:rsid w:val="00BC5DC7"/>
    <w:rsid w:val="00BC6B8B"/>
    <w:rsid w:val="00BC73D8"/>
    <w:rsid w:val="00BD52D7"/>
    <w:rsid w:val="00BD5AD2"/>
    <w:rsid w:val="00BE22F3"/>
    <w:rsid w:val="00BE5B52"/>
    <w:rsid w:val="00BE6462"/>
    <w:rsid w:val="00BE7B8D"/>
    <w:rsid w:val="00BF0993"/>
    <w:rsid w:val="00BF10A9"/>
    <w:rsid w:val="00BF1703"/>
    <w:rsid w:val="00BF231C"/>
    <w:rsid w:val="00BF33F6"/>
    <w:rsid w:val="00BF51E5"/>
    <w:rsid w:val="00BF74A6"/>
    <w:rsid w:val="00C013AD"/>
    <w:rsid w:val="00C041E6"/>
    <w:rsid w:val="00C04904"/>
    <w:rsid w:val="00C0490B"/>
    <w:rsid w:val="00C056B3"/>
    <w:rsid w:val="00C103E5"/>
    <w:rsid w:val="00C13319"/>
    <w:rsid w:val="00C13782"/>
    <w:rsid w:val="00C13EE9"/>
    <w:rsid w:val="00C15AD4"/>
    <w:rsid w:val="00C21540"/>
    <w:rsid w:val="00C21906"/>
    <w:rsid w:val="00C21BFA"/>
    <w:rsid w:val="00C22148"/>
    <w:rsid w:val="00C24C8D"/>
    <w:rsid w:val="00C25FE2"/>
    <w:rsid w:val="00C26B53"/>
    <w:rsid w:val="00C279B2"/>
    <w:rsid w:val="00C31231"/>
    <w:rsid w:val="00C33E50"/>
    <w:rsid w:val="00C34C20"/>
    <w:rsid w:val="00C35A3E"/>
    <w:rsid w:val="00C35D29"/>
    <w:rsid w:val="00C42130"/>
    <w:rsid w:val="00C423A4"/>
    <w:rsid w:val="00C44BF5"/>
    <w:rsid w:val="00C44F6A"/>
    <w:rsid w:val="00C521D6"/>
    <w:rsid w:val="00C55232"/>
    <w:rsid w:val="00C553A4"/>
    <w:rsid w:val="00C55A06"/>
    <w:rsid w:val="00C55D03"/>
    <w:rsid w:val="00C57364"/>
    <w:rsid w:val="00C601BC"/>
    <w:rsid w:val="00C6329F"/>
    <w:rsid w:val="00C63340"/>
    <w:rsid w:val="00C643F9"/>
    <w:rsid w:val="00C64E95"/>
    <w:rsid w:val="00C71372"/>
    <w:rsid w:val="00C714FA"/>
    <w:rsid w:val="00C72410"/>
    <w:rsid w:val="00C7287F"/>
    <w:rsid w:val="00C7685F"/>
    <w:rsid w:val="00C76CC6"/>
    <w:rsid w:val="00C80CB8"/>
    <w:rsid w:val="00C819F8"/>
    <w:rsid w:val="00C8248C"/>
    <w:rsid w:val="00C84E33"/>
    <w:rsid w:val="00C86D6F"/>
    <w:rsid w:val="00C905FC"/>
    <w:rsid w:val="00C908EA"/>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310"/>
    <w:rsid w:val="00CD11C3"/>
    <w:rsid w:val="00CD1C3C"/>
    <w:rsid w:val="00CD2808"/>
    <w:rsid w:val="00CD28BF"/>
    <w:rsid w:val="00CD4092"/>
    <w:rsid w:val="00CD4A20"/>
    <w:rsid w:val="00CD50A1"/>
    <w:rsid w:val="00CD519E"/>
    <w:rsid w:val="00CE0C4F"/>
    <w:rsid w:val="00CE30EA"/>
    <w:rsid w:val="00CE7FAA"/>
    <w:rsid w:val="00CF048A"/>
    <w:rsid w:val="00CF155A"/>
    <w:rsid w:val="00CF2947"/>
    <w:rsid w:val="00CF686F"/>
    <w:rsid w:val="00CF6E60"/>
    <w:rsid w:val="00CF7BCA"/>
    <w:rsid w:val="00D008FD"/>
    <w:rsid w:val="00D02144"/>
    <w:rsid w:val="00D0321C"/>
    <w:rsid w:val="00D035EC"/>
    <w:rsid w:val="00D06AB1"/>
    <w:rsid w:val="00D072ED"/>
    <w:rsid w:val="00D07A16"/>
    <w:rsid w:val="00D1067E"/>
    <w:rsid w:val="00D10F50"/>
    <w:rsid w:val="00D11272"/>
    <w:rsid w:val="00D126F5"/>
    <w:rsid w:val="00D1489E"/>
    <w:rsid w:val="00D14A2C"/>
    <w:rsid w:val="00D15253"/>
    <w:rsid w:val="00D20737"/>
    <w:rsid w:val="00D21E81"/>
    <w:rsid w:val="00D223DE"/>
    <w:rsid w:val="00D235F0"/>
    <w:rsid w:val="00D25E37"/>
    <w:rsid w:val="00D2661A"/>
    <w:rsid w:val="00D27582"/>
    <w:rsid w:val="00D27EC4"/>
    <w:rsid w:val="00D30593"/>
    <w:rsid w:val="00D32719"/>
    <w:rsid w:val="00D33333"/>
    <w:rsid w:val="00D33457"/>
    <w:rsid w:val="00D352A2"/>
    <w:rsid w:val="00D36261"/>
    <w:rsid w:val="00D4162B"/>
    <w:rsid w:val="00D4514F"/>
    <w:rsid w:val="00D451E2"/>
    <w:rsid w:val="00D45691"/>
    <w:rsid w:val="00D45AB8"/>
    <w:rsid w:val="00D45E89"/>
    <w:rsid w:val="00D45E8D"/>
    <w:rsid w:val="00D466AE"/>
    <w:rsid w:val="00D4734F"/>
    <w:rsid w:val="00D51BF3"/>
    <w:rsid w:val="00D52059"/>
    <w:rsid w:val="00D56471"/>
    <w:rsid w:val="00D63F61"/>
    <w:rsid w:val="00D65461"/>
    <w:rsid w:val="00D66846"/>
    <w:rsid w:val="00D675FB"/>
    <w:rsid w:val="00D71F25"/>
    <w:rsid w:val="00D72A9C"/>
    <w:rsid w:val="00D77031"/>
    <w:rsid w:val="00D81A95"/>
    <w:rsid w:val="00D84941"/>
    <w:rsid w:val="00D84FA1"/>
    <w:rsid w:val="00D851F0"/>
    <w:rsid w:val="00D86DB7"/>
    <w:rsid w:val="00D913DE"/>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3F15"/>
    <w:rsid w:val="00DB498B"/>
    <w:rsid w:val="00DB637B"/>
    <w:rsid w:val="00DB66CA"/>
    <w:rsid w:val="00DB6A1D"/>
    <w:rsid w:val="00DB6BCA"/>
    <w:rsid w:val="00DB73F7"/>
    <w:rsid w:val="00DC0321"/>
    <w:rsid w:val="00DC2851"/>
    <w:rsid w:val="00DC3067"/>
    <w:rsid w:val="00DC370B"/>
    <w:rsid w:val="00DC5B90"/>
    <w:rsid w:val="00DD00FF"/>
    <w:rsid w:val="00DD0619"/>
    <w:rsid w:val="00DD07FB"/>
    <w:rsid w:val="00DD25C6"/>
    <w:rsid w:val="00DD3BF5"/>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031B"/>
    <w:rsid w:val="00E11A85"/>
    <w:rsid w:val="00E12495"/>
    <w:rsid w:val="00E125DB"/>
    <w:rsid w:val="00E15CCD"/>
    <w:rsid w:val="00E202EF"/>
    <w:rsid w:val="00E210B5"/>
    <w:rsid w:val="00E23D99"/>
    <w:rsid w:val="00E23E50"/>
    <w:rsid w:val="00E2552F"/>
    <w:rsid w:val="00E277E9"/>
    <w:rsid w:val="00E3137A"/>
    <w:rsid w:val="00E3222C"/>
    <w:rsid w:val="00E32CCF"/>
    <w:rsid w:val="00E34A98"/>
    <w:rsid w:val="00E35D1E"/>
    <w:rsid w:val="00E364F9"/>
    <w:rsid w:val="00E365FA"/>
    <w:rsid w:val="00E36789"/>
    <w:rsid w:val="00E4092F"/>
    <w:rsid w:val="00E44A83"/>
    <w:rsid w:val="00E502C1"/>
    <w:rsid w:val="00E502DD"/>
    <w:rsid w:val="00E50D3A"/>
    <w:rsid w:val="00E51387"/>
    <w:rsid w:val="00E51E68"/>
    <w:rsid w:val="00E52EFD"/>
    <w:rsid w:val="00E5408A"/>
    <w:rsid w:val="00E54D94"/>
    <w:rsid w:val="00E56800"/>
    <w:rsid w:val="00E60C63"/>
    <w:rsid w:val="00E62DD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05E"/>
    <w:rsid w:val="00E90391"/>
    <w:rsid w:val="00E906C2"/>
    <w:rsid w:val="00E9218C"/>
    <w:rsid w:val="00E923E1"/>
    <w:rsid w:val="00E9311F"/>
    <w:rsid w:val="00E934D1"/>
    <w:rsid w:val="00E93729"/>
    <w:rsid w:val="00E94AF0"/>
    <w:rsid w:val="00E95D13"/>
    <w:rsid w:val="00E95DD3"/>
    <w:rsid w:val="00E969D5"/>
    <w:rsid w:val="00EA0DB9"/>
    <w:rsid w:val="00EA58D1"/>
    <w:rsid w:val="00EA61BC"/>
    <w:rsid w:val="00EA681A"/>
    <w:rsid w:val="00EA735B"/>
    <w:rsid w:val="00EB09EF"/>
    <w:rsid w:val="00EB17DE"/>
    <w:rsid w:val="00EB1E69"/>
    <w:rsid w:val="00EB2086"/>
    <w:rsid w:val="00EB5EDF"/>
    <w:rsid w:val="00EB60FE"/>
    <w:rsid w:val="00EB74DB"/>
    <w:rsid w:val="00EB7EE6"/>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1454"/>
    <w:rsid w:val="00F33817"/>
    <w:rsid w:val="00F339E1"/>
    <w:rsid w:val="00F40DB2"/>
    <w:rsid w:val="00F420D5"/>
    <w:rsid w:val="00F42E0A"/>
    <w:rsid w:val="00F451EA"/>
    <w:rsid w:val="00F45447"/>
    <w:rsid w:val="00F456C6"/>
    <w:rsid w:val="00F4577B"/>
    <w:rsid w:val="00F46182"/>
    <w:rsid w:val="00F46496"/>
    <w:rsid w:val="00F474D0"/>
    <w:rsid w:val="00F50179"/>
    <w:rsid w:val="00F515EE"/>
    <w:rsid w:val="00F56511"/>
    <w:rsid w:val="00F6194E"/>
    <w:rsid w:val="00F623AC"/>
    <w:rsid w:val="00F6412A"/>
    <w:rsid w:val="00F65893"/>
    <w:rsid w:val="00F66A4A"/>
    <w:rsid w:val="00F71E22"/>
    <w:rsid w:val="00F72142"/>
    <w:rsid w:val="00F72AE7"/>
    <w:rsid w:val="00F73CE1"/>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B4D"/>
    <w:rsid w:val="00FA4DAC"/>
    <w:rsid w:val="00FA662D"/>
    <w:rsid w:val="00FA73B1"/>
    <w:rsid w:val="00FB0CB9"/>
    <w:rsid w:val="00FB231D"/>
    <w:rsid w:val="00FB45F1"/>
    <w:rsid w:val="00FB4A72"/>
    <w:rsid w:val="00FB54E8"/>
    <w:rsid w:val="00FB5BBE"/>
    <w:rsid w:val="00FB7054"/>
    <w:rsid w:val="00FC17B7"/>
    <w:rsid w:val="00FC2CB7"/>
    <w:rsid w:val="00FC4090"/>
    <w:rsid w:val="00FC55B4"/>
    <w:rsid w:val="00FD00E6"/>
    <w:rsid w:val="00FD09A1"/>
    <w:rsid w:val="00FD2A7C"/>
    <w:rsid w:val="00FD59EB"/>
    <w:rsid w:val="00FD7299"/>
    <w:rsid w:val="00FD7372"/>
    <w:rsid w:val="00FD7EED"/>
    <w:rsid w:val="00FE11BB"/>
    <w:rsid w:val="00FE1FBE"/>
    <w:rsid w:val="00FE3901"/>
    <w:rsid w:val="00FE39D3"/>
    <w:rsid w:val="00FE47BB"/>
    <w:rsid w:val="00FE4BCE"/>
    <w:rsid w:val="00FE54AE"/>
    <w:rsid w:val="00FE576A"/>
    <w:rsid w:val="00FE7E79"/>
    <w:rsid w:val="00FF3E7D"/>
    <w:rsid w:val="00FF5B99"/>
    <w:rsid w:val="00FF730C"/>
    <w:rsid w:val="00FF73F4"/>
    <w:rsid w:val="00FF7CE4"/>
    <w:rsid w:val="00FF7E39"/>
    <w:rsid w:val="7A96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7"/>
    <w:semiHidden/>
    <w:unhideWhenUsed/>
    <w:uiPriority w:val="99"/>
    <w:rPr>
      <w:sz w:val="18"/>
      <w:szCs w:val="18"/>
    </w:rPr>
  </w:style>
  <w:style w:type="paragraph" w:styleId="17">
    <w:name w:val="footer"/>
    <w:basedOn w:val="1"/>
    <w:link w:val="46"/>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101"/>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Normal (Web)"/>
    <w:basedOn w:val="1"/>
    <w:qFormat/>
    <w:uiPriority w:val="0"/>
    <w:pPr>
      <w:adjustRightInd/>
      <w:spacing w:beforeAutospacing="1" w:afterAutospacing="1" w:line="240" w:lineRule="auto"/>
      <w:ind w:firstLine="723" w:firstLineChars="200"/>
      <w:jc w:val="left"/>
    </w:pPr>
    <w:rPr>
      <w:kern w:val="0"/>
      <w:sz w:val="24"/>
      <w:szCs w:val="24"/>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paragraph" w:styleId="27">
    <w:name w:val="Body Text First Indent"/>
    <w:basedOn w:val="13"/>
    <w:link w:val="234"/>
    <w:unhideWhenUsed/>
    <w:qFormat/>
    <w:uiPriority w:val="0"/>
    <w:pPr>
      <w:ind w:firstLine="420" w:firstLineChars="100"/>
    </w:p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uiPriority w:val="0"/>
    <w:rPr>
      <w:rFonts w:ascii="宋体" w:hAnsi="Times New Roman" w:eastAsia="宋体"/>
      <w:sz w:val="18"/>
    </w:rPr>
  </w:style>
  <w:style w:type="character" w:styleId="33">
    <w:name w:val="Emphasis"/>
    <w:qFormat/>
    <w:uiPriority w:val="20"/>
    <w:rPr>
      <w:i/>
      <w:iCs/>
    </w:rPr>
  </w:style>
  <w:style w:type="character" w:styleId="34">
    <w:name w:val="Hyperlink"/>
    <w:uiPriority w:val="99"/>
    <w:rPr>
      <w:rFonts w:ascii="宋体" w:hAnsi="Times New Roman" w:eastAsia="宋体"/>
      <w:color w:val="auto"/>
      <w:spacing w:val="0"/>
      <w:w w:val="100"/>
      <w:position w:val="0"/>
      <w:sz w:val="21"/>
      <w:u w:val="none"/>
      <w:vertAlign w:val="baseline"/>
    </w:rPr>
  </w:style>
  <w:style w:type="character" w:styleId="35">
    <w:name w:val="footnote reference"/>
    <w:semiHidden/>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uiPriority w:val="0"/>
    <w:rPr>
      <w:rFonts w:ascii="Arial" w:hAnsi="Arial" w:eastAsia="黑体" w:cs="Times New Roman"/>
      <w:b/>
      <w:bCs/>
      <w:sz w:val="32"/>
      <w:szCs w:val="32"/>
    </w:rPr>
  </w:style>
  <w:style w:type="character" w:customStyle="1" w:styleId="38">
    <w:name w:val="标题 3 字符"/>
    <w:link w:val="4"/>
    <w:uiPriority w:val="0"/>
    <w:rPr>
      <w:rFonts w:ascii="Times New Roman" w:hAnsi="Times New Roman" w:eastAsia="宋体" w:cs="Times New Roman"/>
      <w:b/>
      <w:bCs/>
      <w:sz w:val="32"/>
      <w:szCs w:val="32"/>
    </w:rPr>
  </w:style>
  <w:style w:type="character" w:customStyle="1" w:styleId="39">
    <w:name w:val="标题 4 字符"/>
    <w:link w:val="5"/>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uiPriority w:val="0"/>
    <w:rPr>
      <w:rFonts w:ascii="Arial" w:hAnsi="Arial" w:eastAsia="黑体" w:cs="Times New Roman"/>
      <w:sz w:val="24"/>
      <w:szCs w:val="24"/>
    </w:rPr>
  </w:style>
  <w:style w:type="character" w:customStyle="1" w:styleId="44">
    <w:name w:val="标题 9 字符"/>
    <w:link w:val="10"/>
    <w:uiPriority w:val="0"/>
    <w:rPr>
      <w:rFonts w:ascii="Arial" w:hAnsi="Arial" w:eastAsia="黑体" w:cs="Times New Roman"/>
      <w:szCs w:val="21"/>
    </w:rPr>
  </w:style>
  <w:style w:type="character" w:customStyle="1" w:styleId="45">
    <w:name w:val="页眉 字符"/>
    <w:link w:val="18"/>
    <w:uiPriority w:val="99"/>
    <w:rPr>
      <w:rFonts w:ascii="Times New Roman" w:hAnsi="Times New Roman" w:eastAsia="宋体" w:cs="Times New Roman"/>
      <w:sz w:val="18"/>
      <w:szCs w:val="18"/>
    </w:rPr>
  </w:style>
  <w:style w:type="character" w:customStyle="1" w:styleId="46">
    <w:name w:val="页脚 字符"/>
    <w:link w:val="17"/>
    <w:uiPriority w:val="99"/>
    <w:rPr>
      <w:rFonts w:ascii="宋体" w:hAnsi="Times New Roman" w:eastAsia="宋体" w:cs="Times New Roman"/>
      <w:sz w:val="18"/>
      <w:szCs w:val="18"/>
    </w:rPr>
  </w:style>
  <w:style w:type="character" w:customStyle="1" w:styleId="47">
    <w:name w:val="批注框文本 字符"/>
    <w:link w:val="16"/>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uiPriority w:val="29"/>
    <w:rPr>
      <w:i/>
      <w:iCs/>
      <w:color w:val="000000"/>
    </w:rPr>
  </w:style>
  <w:style w:type="character" w:customStyle="1" w:styleId="50">
    <w:name w:val="标题 字符"/>
    <w:link w:val="26"/>
    <w:uiPriority w:val="0"/>
    <w:rPr>
      <w:rFonts w:ascii="Arial" w:hAnsi="Arial" w:eastAsia="宋体" w:cs="Arial"/>
      <w:b/>
      <w:bCs/>
      <w:sz w:val="32"/>
      <w:szCs w:val="32"/>
    </w:rPr>
  </w:style>
  <w:style w:type="paragraph" w:customStyle="1" w:styleId="51">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uiPriority w:val="0"/>
    <w:pPr>
      <w:ind w:left="198"/>
    </w:pPr>
    <w:rPr>
      <w:rFonts w:ascii="宋体" w:hAnsi="Times New Roman" w:eastAsia="宋体" w:cs="Times New Roman"/>
      <w:sz w:val="18"/>
      <w:lang w:val="en-US" w:eastAsia="zh-CN" w:bidi="ar-SA"/>
    </w:rPr>
  </w:style>
  <w:style w:type="paragraph" w:customStyle="1" w:styleId="54">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5">
    <w:name w:val="标准书眉一"/>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uiPriority w:val="0"/>
    <w:pPr>
      <w:snapToGrid w:val="0"/>
      <w:ind w:firstLine="200" w:firstLineChars="200"/>
    </w:pPr>
    <w:rPr>
      <w:kern w:val="0"/>
    </w:rPr>
  </w:style>
  <w:style w:type="paragraph" w:customStyle="1" w:styleId="58">
    <w:name w:val="标准文件_段"/>
    <w:link w:val="186"/>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uiPriority w:val="0"/>
    <w:pPr>
      <w:jc w:val="center"/>
    </w:pPr>
    <w:rPr>
      <w:rFonts w:ascii="黑体" w:eastAsia="黑体"/>
      <w:kern w:val="0"/>
      <w:sz w:val="44"/>
    </w:rPr>
  </w:style>
  <w:style w:type="paragraph" w:customStyle="1" w:styleId="61">
    <w:name w:val="标准文件_标准代替"/>
    <w:basedOn w:val="1"/>
    <w:next w:val="1"/>
    <w:uiPriority w:val="0"/>
    <w:pPr>
      <w:spacing w:line="310" w:lineRule="exact"/>
      <w:jc w:val="right"/>
    </w:pPr>
    <w:rPr>
      <w:rFonts w:ascii="宋体" w:hAnsi="宋体"/>
      <w:kern w:val="0"/>
    </w:rPr>
  </w:style>
  <w:style w:type="paragraph" w:customStyle="1" w:styleId="62">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uiPriority w:val="0"/>
    <w:pPr>
      <w:jc w:val="left"/>
    </w:pPr>
  </w:style>
  <w:style w:type="paragraph" w:customStyle="1" w:styleId="65">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8">
    <w:name w:val="标准文件_发布"/>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uiPriority w:val="0"/>
    <w:rPr>
      <w:rFonts w:ascii="黑体" w:eastAsia="黑体"/>
      <w:b/>
      <w:kern w:val="0"/>
      <w:sz w:val="28"/>
    </w:rPr>
  </w:style>
  <w:style w:type="paragraph" w:customStyle="1" w:styleId="72">
    <w:name w:val="标准文件_封面标准名称"/>
    <w:basedOn w:val="1"/>
    <w:uiPriority w:val="0"/>
    <w:pPr>
      <w:spacing w:line="240" w:lineRule="auto"/>
      <w:jc w:val="center"/>
    </w:pPr>
    <w:rPr>
      <w:rFonts w:ascii="黑体" w:eastAsia="黑体"/>
      <w:kern w:val="0"/>
      <w:sz w:val="52"/>
    </w:rPr>
  </w:style>
  <w:style w:type="paragraph" w:customStyle="1" w:styleId="73">
    <w:name w:val="标准文件_封面标准英文名称"/>
    <w:basedOn w:val="1"/>
    <w:uiPriority w:val="0"/>
    <w:pPr>
      <w:spacing w:line="240" w:lineRule="auto"/>
      <w:jc w:val="center"/>
    </w:pPr>
    <w:rPr>
      <w:rFonts w:ascii="黑体" w:eastAsia="黑体"/>
      <w:b/>
      <w:sz w:val="28"/>
    </w:rPr>
  </w:style>
  <w:style w:type="paragraph" w:customStyle="1" w:styleId="74">
    <w:name w:val="标准文件_封面发布日期"/>
    <w:basedOn w:val="1"/>
    <w:uiPriority w:val="0"/>
    <w:pPr>
      <w:spacing w:line="310" w:lineRule="exact"/>
    </w:pPr>
    <w:rPr>
      <w:rFonts w:ascii="黑体" w:eastAsia="黑体"/>
      <w:kern w:val="0"/>
      <w:sz w:val="28"/>
    </w:rPr>
  </w:style>
  <w:style w:type="paragraph" w:customStyle="1" w:styleId="75">
    <w:name w:val="标准文件_封面密级"/>
    <w:basedOn w:val="1"/>
    <w:uiPriority w:val="0"/>
    <w:rPr>
      <w:rFonts w:eastAsia="黑体"/>
      <w:sz w:val="32"/>
    </w:rPr>
  </w:style>
  <w:style w:type="paragraph" w:customStyle="1" w:styleId="76">
    <w:name w:val="标准文件_封面实施日期"/>
    <w:basedOn w:val="1"/>
    <w:uiPriority w:val="0"/>
    <w:pPr>
      <w:spacing w:line="310" w:lineRule="exact"/>
      <w:jc w:val="right"/>
    </w:pPr>
    <w:rPr>
      <w:rFonts w:ascii="黑体" w:eastAsia="黑体"/>
      <w:sz w:val="28"/>
    </w:rPr>
  </w:style>
  <w:style w:type="paragraph" w:customStyle="1" w:styleId="77">
    <w:name w:val="标准文件_封面抬头"/>
    <w:basedOn w:val="58"/>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uiPriority w:val="0"/>
    <w:rPr>
      <w:rFonts w:ascii="Times New Roman" w:hAnsi="Times New Roman" w:eastAsia="宋体" w:cs="Times New Roman"/>
      <w:szCs w:val="20"/>
    </w:rPr>
  </w:style>
  <w:style w:type="paragraph" w:customStyle="1" w:styleId="89">
    <w:name w:val="标准文件_附录章标题"/>
    <w:next w:val="58"/>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uiPriority w:val="0"/>
    <w:pPr>
      <w:ind w:left="488" w:leftChars="200" w:hanging="289" w:hangingChars="290"/>
    </w:pPr>
  </w:style>
  <w:style w:type="paragraph" w:customStyle="1" w:styleId="91">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uiPriority w:val="0"/>
    <w:pPr>
      <w:spacing w:line="460" w:lineRule="exact"/>
    </w:pPr>
  </w:style>
  <w:style w:type="paragraph" w:customStyle="1" w:styleId="93">
    <w:name w:val="标准文件_目录标题"/>
    <w:basedOn w:val="1"/>
    <w:uiPriority w:val="0"/>
    <w:pPr>
      <w:spacing w:after="150" w:afterLines="150" w:line="240" w:lineRule="auto"/>
      <w:jc w:val="center"/>
    </w:pPr>
    <w:rPr>
      <w:rFonts w:ascii="黑体" w:eastAsia="黑体"/>
      <w:sz w:val="32"/>
    </w:rPr>
  </w:style>
  <w:style w:type="paragraph" w:customStyle="1" w:styleId="94">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uiPriority w:val="0"/>
    <w:pPr>
      <w:numPr>
        <w:numId w:val="10"/>
      </w:numPr>
      <w:ind w:left="0" w:firstLine="200"/>
    </w:pPr>
  </w:style>
  <w:style w:type="paragraph" w:customStyle="1" w:styleId="96">
    <w:name w:val="标准文件_三级条标题"/>
    <w:basedOn w:val="67"/>
    <w:next w:val="58"/>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uiPriority w:val="0"/>
    <w:pPr>
      <w:adjustRightInd/>
      <w:spacing w:line="240" w:lineRule="auto"/>
      <w:ind w:firstLine="200" w:firstLineChars="200"/>
    </w:pPr>
    <w:rPr>
      <w:sz w:val="18"/>
      <w:szCs w:val="24"/>
    </w:rPr>
  </w:style>
  <w:style w:type="paragraph" w:customStyle="1" w:styleId="99">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1"/>
    <w:semiHidden/>
    <w:uiPriority w:val="0"/>
    <w:rPr>
      <w:rFonts w:ascii="宋体" w:hAnsi="Times New Roman" w:eastAsia="宋体" w:cs="Times New Roman"/>
      <w:sz w:val="18"/>
      <w:szCs w:val="18"/>
    </w:rPr>
  </w:style>
  <w:style w:type="paragraph" w:customStyle="1" w:styleId="102">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uiPriority w:val="0"/>
    <w:pPr>
      <w:numPr>
        <w:ilvl w:val="0"/>
        <w:numId w:val="12"/>
      </w:numPr>
      <w:spacing w:line="240" w:lineRule="auto"/>
      <w:jc w:val="left"/>
    </w:pPr>
    <w:rPr>
      <w:rFonts w:ascii="宋体" w:hAnsi="宋体"/>
      <w:sz w:val="18"/>
    </w:rPr>
  </w:style>
  <w:style w:type="character" w:customStyle="1" w:styleId="104">
    <w:name w:val="标准文件_图表脚注内容"/>
    <w:uiPriority w:val="0"/>
    <w:rPr>
      <w:rFonts w:ascii="宋体" w:hAnsi="宋体" w:eastAsia="宋体" w:cs="Times New Roman"/>
      <w:spacing w:val="0"/>
      <w:sz w:val="18"/>
      <w:vertAlign w:val="superscript"/>
    </w:rPr>
  </w:style>
  <w:style w:type="paragraph" w:customStyle="1" w:styleId="105">
    <w:name w:val="标准文件_五级条标题"/>
    <w:next w:val="58"/>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uiPriority w:val="0"/>
    <w:pPr>
      <w:numPr>
        <w:ilvl w:val="2"/>
      </w:numPr>
      <w:spacing w:before="50" w:beforeLines="50" w:after="50" w:afterLines="50"/>
      <w:ind w:left="0"/>
      <w:outlineLvl w:val="1"/>
    </w:pPr>
  </w:style>
  <w:style w:type="paragraph" w:customStyle="1" w:styleId="108">
    <w:name w:val="标准文件_一致程度"/>
    <w:basedOn w:val="1"/>
    <w:uiPriority w:val="0"/>
    <w:pPr>
      <w:spacing w:line="440" w:lineRule="exact"/>
      <w:jc w:val="center"/>
    </w:pPr>
    <w:rPr>
      <w:sz w:val="28"/>
    </w:rPr>
  </w:style>
  <w:style w:type="paragraph" w:customStyle="1" w:styleId="109">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uiPriority w:val="0"/>
    <w:pPr>
      <w:numPr>
        <w:ilvl w:val="3"/>
        <w:numId w:val="20"/>
      </w:numPr>
      <w:adjustRightInd/>
      <w:spacing w:line="240" w:lineRule="auto"/>
    </w:pPr>
    <w:rPr>
      <w:rFonts w:ascii="宋体" w:hAnsi="宋体"/>
      <w:szCs w:val="24"/>
    </w:rPr>
  </w:style>
  <w:style w:type="paragraph" w:customStyle="1" w:styleId="121">
    <w:name w:val="发布部门"/>
    <w:next w:val="58"/>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uiPriority w:val="0"/>
    <w:pPr>
      <w:outlineLvl w:val="4"/>
    </w:pPr>
  </w:style>
  <w:style w:type="paragraph" w:customStyle="1" w:styleId="132">
    <w:name w:val="附录四级无标题条"/>
    <w:basedOn w:val="131"/>
    <w:next w:val="58"/>
    <w:uiPriority w:val="0"/>
    <w:pPr>
      <w:outlineLvl w:val="5"/>
    </w:pPr>
  </w:style>
  <w:style w:type="paragraph" w:customStyle="1" w:styleId="133">
    <w:name w:val="附录图"/>
    <w:next w:val="58"/>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uiPriority w:val="0"/>
    <w:pPr>
      <w:outlineLvl w:val="6"/>
    </w:pPr>
  </w:style>
  <w:style w:type="paragraph" w:customStyle="1" w:styleId="136">
    <w:name w:val="附录性质"/>
    <w:basedOn w:val="1"/>
    <w:uiPriority w:val="0"/>
    <w:pPr>
      <w:widowControl/>
      <w:adjustRightInd/>
      <w:jc w:val="center"/>
    </w:pPr>
    <w:rPr>
      <w:rFonts w:ascii="黑体" w:eastAsia="黑体"/>
    </w:rPr>
  </w:style>
  <w:style w:type="paragraph" w:customStyle="1" w:styleId="137">
    <w:name w:val="附录一级无标题条"/>
    <w:basedOn w:val="89"/>
    <w:next w:val="58"/>
    <w:uiPriority w:val="0"/>
    <w:pPr>
      <w:autoSpaceDN w:val="0"/>
      <w:outlineLvl w:val="2"/>
    </w:pPr>
    <w:rPr>
      <w:rFonts w:ascii="宋体" w:hAnsi="宋体" w:eastAsia="宋体"/>
    </w:rPr>
  </w:style>
  <w:style w:type="character" w:customStyle="1" w:styleId="138">
    <w:name w:val="个人答复风格"/>
    <w:uiPriority w:val="0"/>
    <w:rPr>
      <w:rFonts w:ascii="Arial" w:hAnsi="Arial" w:eastAsia="宋体" w:cs="Arial"/>
      <w:color w:val="auto"/>
      <w:spacing w:val="0"/>
      <w:sz w:val="20"/>
    </w:rPr>
  </w:style>
  <w:style w:type="character" w:customStyle="1" w:styleId="139">
    <w:name w:val="个人撰写风格"/>
    <w:uiPriority w:val="0"/>
    <w:rPr>
      <w:rFonts w:ascii="Arial" w:hAnsi="Arial" w:eastAsia="宋体" w:cs="Arial"/>
      <w:color w:val="auto"/>
      <w:spacing w:val="0"/>
      <w:sz w:val="20"/>
    </w:rPr>
  </w:style>
  <w:style w:type="paragraph" w:customStyle="1" w:styleId="140">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uiPriority w:val="0"/>
    <w:pPr>
      <w:tabs>
        <w:tab w:val="left" w:pos="840"/>
      </w:tabs>
    </w:pPr>
  </w:style>
  <w:style w:type="paragraph" w:customStyle="1" w:styleId="14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uiPriority w:val="0"/>
    <w:pPr>
      <w:adjustRightInd/>
      <w:spacing w:line="240" w:lineRule="auto"/>
      <w:jc w:val="left"/>
    </w:pPr>
    <w:rPr>
      <w:bCs/>
      <w:iCs/>
    </w:rPr>
  </w:style>
  <w:style w:type="paragraph" w:customStyle="1" w:styleId="145">
    <w:name w:val="目录 31"/>
    <w:basedOn w:val="1"/>
    <w:next w:val="1"/>
    <w:semiHidden/>
    <w:uiPriority w:val="0"/>
    <w:pPr>
      <w:spacing w:line="240" w:lineRule="auto"/>
    </w:pPr>
    <w:rPr>
      <w:rFonts w:ascii="宋体" w:hAnsi="宋体"/>
      <w:iCs/>
    </w:rPr>
  </w:style>
  <w:style w:type="paragraph" w:customStyle="1" w:styleId="146">
    <w:name w:val="目录 41"/>
    <w:basedOn w:val="1"/>
    <w:next w:val="1"/>
    <w:semiHidden/>
    <w:uiPriority w:val="0"/>
    <w:pPr>
      <w:adjustRightInd/>
      <w:spacing w:line="240" w:lineRule="auto"/>
      <w:jc w:val="left"/>
    </w:pPr>
  </w:style>
  <w:style w:type="paragraph" w:customStyle="1" w:styleId="147">
    <w:name w:val="目录 51"/>
    <w:basedOn w:val="1"/>
    <w:next w:val="1"/>
    <w:semiHidden/>
    <w:uiPriority w:val="0"/>
    <w:pPr>
      <w:spacing w:line="240" w:lineRule="auto"/>
    </w:pPr>
    <w:rPr>
      <w:rFonts w:ascii="宋体" w:hAnsi="宋体"/>
    </w:rPr>
  </w:style>
  <w:style w:type="paragraph" w:customStyle="1" w:styleId="148">
    <w:name w:val="目录 61"/>
    <w:basedOn w:val="1"/>
    <w:next w:val="1"/>
    <w:semiHidden/>
    <w:uiPriority w:val="0"/>
    <w:pPr>
      <w:adjustRightInd/>
      <w:spacing w:line="240" w:lineRule="auto"/>
      <w:jc w:val="left"/>
    </w:pPr>
  </w:style>
  <w:style w:type="paragraph" w:customStyle="1" w:styleId="149">
    <w:name w:val="目录 71"/>
    <w:basedOn w:val="148"/>
    <w:semiHidden/>
    <w:uiPriority w:val="0"/>
    <w:pPr>
      <w:ind w:left="1260"/>
    </w:pPr>
  </w:style>
  <w:style w:type="paragraph" w:customStyle="1" w:styleId="150">
    <w:name w:val="目录 81"/>
    <w:basedOn w:val="149"/>
    <w:semiHidden/>
    <w:uiPriority w:val="0"/>
    <w:pPr>
      <w:ind w:left="1470"/>
    </w:pPr>
  </w:style>
  <w:style w:type="paragraph" w:customStyle="1" w:styleId="151">
    <w:name w:val="目录 91"/>
    <w:basedOn w:val="150"/>
    <w:semiHidden/>
    <w:uiPriority w:val="0"/>
    <w:pPr>
      <w:ind w:left="1680"/>
    </w:pPr>
  </w:style>
  <w:style w:type="paragraph" w:customStyle="1" w:styleId="15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uiPriority w:val="0"/>
    <w:pPr>
      <w:framePr w:wrap="around"/>
      <w:spacing w:line="0" w:lineRule="atLeast"/>
    </w:pPr>
    <w:rPr>
      <w:rFonts w:ascii="黑体" w:eastAsia="黑体"/>
      <w:b w:val="0"/>
    </w:rPr>
  </w:style>
  <w:style w:type="paragraph" w:customStyle="1" w:styleId="154">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uiPriority w:val="0"/>
    <w:pPr>
      <w:numPr>
        <w:ilvl w:val="4"/>
        <w:numId w:val="20"/>
      </w:numPr>
      <w:adjustRightInd/>
      <w:spacing w:line="240" w:lineRule="auto"/>
    </w:pPr>
    <w:rPr>
      <w:rFonts w:ascii="宋体" w:hAnsi="宋体"/>
      <w:szCs w:val="24"/>
    </w:rPr>
  </w:style>
  <w:style w:type="paragraph" w:customStyle="1" w:styleId="156">
    <w:name w:val="实施日期"/>
    <w:basedOn w:val="122"/>
    <w:uiPriority w:val="0"/>
    <w:pPr>
      <w:framePr w:hSpace="0" w:wrap="around" w:xAlign="right"/>
      <w:jc w:val="right"/>
    </w:pPr>
  </w:style>
  <w:style w:type="paragraph" w:customStyle="1" w:styleId="157">
    <w:name w:val="四级无标题条"/>
    <w:basedOn w:val="1"/>
    <w:uiPriority w:val="0"/>
    <w:pPr>
      <w:numPr>
        <w:ilvl w:val="5"/>
        <w:numId w:val="20"/>
      </w:numPr>
      <w:adjustRightInd/>
      <w:spacing w:line="240" w:lineRule="auto"/>
    </w:pPr>
    <w:rPr>
      <w:rFonts w:ascii="宋体" w:hAnsi="宋体"/>
      <w:szCs w:val="24"/>
    </w:rPr>
  </w:style>
  <w:style w:type="paragraph" w:customStyle="1" w:styleId="15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uiPriority w:val="0"/>
    <w:pPr>
      <w:jc w:val="both"/>
    </w:pPr>
    <w:rPr>
      <w:rFonts w:ascii="宋体" w:hAnsi="宋体" w:eastAsia="宋体" w:cs="Times New Roman"/>
      <w:sz w:val="21"/>
      <w:lang w:val="en-US" w:eastAsia="zh-CN" w:bidi="ar-SA"/>
    </w:rPr>
  </w:style>
  <w:style w:type="paragraph" w:customStyle="1" w:styleId="160">
    <w:name w:val="五级无标题条"/>
    <w:basedOn w:val="1"/>
    <w:uiPriority w:val="0"/>
    <w:pPr>
      <w:numPr>
        <w:ilvl w:val="6"/>
        <w:numId w:val="20"/>
      </w:numPr>
      <w:adjustRightInd/>
    </w:pPr>
    <w:rPr>
      <w:szCs w:val="24"/>
    </w:rPr>
  </w:style>
  <w:style w:type="paragraph" w:customStyle="1" w:styleId="161">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2">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uiPriority w:val="0"/>
    <w:rPr>
      <w:rFonts w:ascii="宋体" w:hAnsi="Times New Roman" w:eastAsia="宋体" w:cs="Times New Roman"/>
      <w:sz w:val="21"/>
      <w:lang w:val="en-US" w:eastAsia="zh-CN" w:bidi="ar-SA"/>
    </w:rPr>
  </w:style>
  <w:style w:type="paragraph" w:customStyle="1" w:styleId="174">
    <w:name w:val="标准文件_三级项"/>
    <w:basedOn w:val="1"/>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uiPriority w:val="0"/>
    <w:pPr>
      <w:framePr w:w="3997" w:h="471" w:hRule="exact" w:hSpace="0" w:vSpace="181" w:wrap="around" w:vAnchor="page" w:hAnchor="page" w:x="1419" w:y="14097"/>
    </w:pPr>
  </w:style>
  <w:style w:type="paragraph" w:customStyle="1" w:styleId="196">
    <w:name w:val="其他实施日期"/>
    <w:basedOn w:val="156"/>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uiPriority w:val="0"/>
    <w:rPr>
      <w:rFonts w:ascii="黑体" w:eastAsia="黑体"/>
      <w:spacing w:val="85"/>
      <w:w w:val="100"/>
      <w:position w:val="3"/>
      <w:sz w:val="28"/>
      <w:szCs w:val="28"/>
    </w:rPr>
  </w:style>
  <w:style w:type="paragraph" w:styleId="232">
    <w:name w:val="List Paragraph"/>
    <w:basedOn w:val="1"/>
    <w:qFormat/>
    <w:uiPriority w:val="34"/>
    <w:pPr>
      <w:ind w:firstLine="420" w:firstLineChars="200"/>
    </w:pPr>
  </w:style>
  <w:style w:type="paragraph" w:customStyle="1" w:styleId="233">
    <w:name w:val="正文-奇安信"/>
    <w:basedOn w:val="1"/>
    <w:uiPriority w:val="0"/>
    <w:pPr>
      <w:adjustRightInd/>
      <w:spacing w:line="360" w:lineRule="auto"/>
      <w:ind w:firstLine="420" w:firstLineChars="200"/>
    </w:pPr>
    <w:rPr>
      <w:sz w:val="28"/>
      <w:szCs w:val="20"/>
    </w:rPr>
  </w:style>
  <w:style w:type="character" w:customStyle="1" w:styleId="234">
    <w:name w:val="正文文本首行缩进 字符"/>
    <w:basedOn w:val="88"/>
    <w:link w:val="27"/>
    <w:semiHidden/>
    <w:uiPriority w:val="99"/>
    <w:rPr>
      <w:rFonts w:ascii="Times New Roman" w:hAnsi="Times New Roman" w:eastAsia="宋体" w:cs="Times New Roman"/>
      <w:kern w:val="2"/>
      <w:sz w:val="21"/>
      <w:szCs w:val="21"/>
    </w:rPr>
  </w:style>
  <w:style w:type="paragraph" w:customStyle="1" w:styleId="235">
    <w:name w:val="段"/>
    <w:link w:val="236"/>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6">
    <w:name w:val="段 Char"/>
    <w:link w:val="235"/>
    <w:uiPriority w:val="0"/>
    <w:rPr>
      <w:rFonts w:ascii="宋体" w:hAnsi="Times New Roman"/>
      <w:sz w:val="21"/>
    </w:rPr>
  </w:style>
  <w:style w:type="paragraph" w:customStyle="1" w:styleId="237">
    <w:name w:val="一级条标题"/>
    <w:next w:val="235"/>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8">
    <w:name w:val="注×："/>
    <w:uiPriority w:val="0"/>
    <w:pPr>
      <w:widowControl w:val="0"/>
      <w:autoSpaceDE w:val="0"/>
      <w:autoSpaceDN w:val="0"/>
      <w:ind w:left="1588"/>
      <w:jc w:val="both"/>
    </w:pPr>
    <w:rPr>
      <w:rFonts w:ascii="宋体" w:hAnsi="Times New Roman" w:eastAsia="宋体" w:cs="Times New Roman"/>
      <w:sz w:val="18"/>
      <w:szCs w:val="18"/>
      <w:lang w:val="en-US" w:eastAsia="zh-CN" w:bidi="ar-SA"/>
    </w:rPr>
  </w:style>
  <w:style w:type="paragraph" w:customStyle="1" w:styleId="239">
    <w:name w:val="Revision"/>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F33C47399A34115B6338D75C644B872"/>
        <w:style w:val=""/>
        <w:category>
          <w:name w:val="常规"/>
          <w:gallery w:val="placeholder"/>
        </w:category>
        <w:types>
          <w:type w:val="bbPlcHdr"/>
        </w:types>
        <w:behaviors>
          <w:behavior w:val="content"/>
        </w:behaviors>
        <w:description w:val=""/>
        <w:guid w:val="{DED4DB19-5B45-4F94-8E38-A8B9FBAFEB0A}"/>
      </w:docPartPr>
      <w:docPartBody>
        <w:p>
          <w:pPr>
            <w:pStyle w:val="5"/>
          </w:pPr>
          <w:r>
            <w:rPr>
              <w:rStyle w:val="4"/>
              <w:rFonts w:hint="eastAsia"/>
            </w:rPr>
            <w:t>单击或点击此处输入文字。</w:t>
          </w:r>
        </w:p>
      </w:docPartBody>
    </w:docPart>
    <w:docPart>
      <w:docPartPr>
        <w:name w:val="9BF6CA0256D34DC59535C1ADBFF90EB8"/>
        <w:style w:val=""/>
        <w:category>
          <w:name w:val="常规"/>
          <w:gallery w:val="placeholder"/>
        </w:category>
        <w:types>
          <w:type w:val="bbPlcHdr"/>
        </w:types>
        <w:behaviors>
          <w:behavior w:val="content"/>
        </w:behaviors>
        <w:description w:val=""/>
        <w:guid w:val="{40F4B5B7-F402-4B34-9572-4B0CEBF055C0}"/>
      </w:docPartPr>
      <w:docPartBody>
        <w:p>
          <w:pPr>
            <w:pStyle w:val="6"/>
          </w:pPr>
          <w:r>
            <w:rPr>
              <w:rStyle w:val="4"/>
              <w:rFonts w:hint="eastAsia"/>
            </w:rPr>
            <w:t>选择一项。</w:t>
          </w:r>
        </w:p>
      </w:docPartBody>
    </w:docPart>
    <w:docPart>
      <w:docPartPr>
        <w:name w:val="4107C6685EC0446D833BDCB6D88E24BE"/>
        <w:style w:val=""/>
        <w:category>
          <w:name w:val="常规"/>
          <w:gallery w:val="placeholder"/>
        </w:category>
        <w:types>
          <w:type w:val="bbPlcHdr"/>
        </w:types>
        <w:behaviors>
          <w:behavior w:val="content"/>
        </w:behaviors>
        <w:description w:val=""/>
        <w:guid w:val="{609CAFE1-DFF2-466A-BAB9-6EBCDCAF53F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76"/>
    <w:rsid w:val="0001633D"/>
    <w:rsid w:val="00102954"/>
    <w:rsid w:val="001C27BB"/>
    <w:rsid w:val="00291224"/>
    <w:rsid w:val="004F2DC1"/>
    <w:rsid w:val="00683A1A"/>
    <w:rsid w:val="006E7CFF"/>
    <w:rsid w:val="00767C36"/>
    <w:rsid w:val="00827576"/>
    <w:rsid w:val="008B79D4"/>
    <w:rsid w:val="00B701FA"/>
    <w:rsid w:val="00F038E6"/>
    <w:rsid w:val="00F93436"/>
    <w:rsid w:val="00FD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F33C47399A34115B6338D75C644B87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BF6CA0256D34DC59535C1ADBFF90EB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107C6685EC0446D833BDCB6D88E24B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9E796-5CE6-4173-BD60-A8F11B0B13E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15</Pages>
  <Words>1672</Words>
  <Characters>9534</Characters>
  <Lines>79</Lines>
  <Paragraphs>22</Paragraphs>
  <TotalTime>1</TotalTime>
  <ScaleCrop>false</ScaleCrop>
  <LinksUpToDate>false</LinksUpToDate>
  <CharactersWithSpaces>11184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2021-11-23T15:00:00Z</dcterms:created>
  <dc:creator>think</dc:creator>
  <dc:description>&lt;config cover="true" show_menu="true" version="1.0.0" doctype="SDKXY"&gt;_x000d_
&lt;/config&gt;</dc:description>
  <cp:lastModifiedBy>admin</cp:lastModifiedBy>
  <cp:lastPrinted>2020-08-30T10:00:00Z</cp:lastPrinted>
  <dcterms:modified xsi:type="dcterms:W3CDTF">2021-11-30T08:44:11Z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2052-11.1.0.11045</vt:lpwstr>
  </property>
  <property fmtid="{D5CDD505-2E9C-101B-9397-08002B2CF9AE}" pid="15" name="ICV">
    <vt:lpwstr>B391957838A24B53B551E56311CF8949</vt:lpwstr>
  </property>
</Properties>
</file>